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2A82EA" w14:textId="77777777" w:rsidR="009D0150" w:rsidRPr="00603CC5" w:rsidRDefault="009D0150" w:rsidP="003604DC">
      <w:pPr>
        <w:spacing w:line="360" w:lineRule="auto"/>
        <w:jc w:val="both"/>
        <w:rPr>
          <w:rFonts w:ascii="Arial Narrow" w:hAnsi="Arial Narrow"/>
          <w:b/>
          <w:bCs/>
          <w:sz w:val="24"/>
          <w:szCs w:val="24"/>
        </w:rPr>
      </w:pPr>
      <w:r w:rsidRPr="00603CC5">
        <w:rPr>
          <w:rFonts w:ascii="Arial Narrow" w:hAnsi="Arial Narrow"/>
          <w:b/>
          <w:bCs/>
          <w:sz w:val="24"/>
          <w:szCs w:val="24"/>
        </w:rPr>
        <w:t>HONORABLE CONGRESO DEL ESTADO DE YUCATÁN</w:t>
      </w:r>
    </w:p>
    <w:p w14:paraId="5DED0F7E" w14:textId="77777777" w:rsidR="009D0150" w:rsidRPr="00603CC5" w:rsidRDefault="009D0150" w:rsidP="003604DC">
      <w:pPr>
        <w:spacing w:line="360" w:lineRule="auto"/>
        <w:jc w:val="both"/>
        <w:rPr>
          <w:rFonts w:ascii="Arial Narrow" w:hAnsi="Arial Narrow"/>
          <w:b/>
          <w:bCs/>
          <w:sz w:val="24"/>
          <w:szCs w:val="24"/>
        </w:rPr>
      </w:pPr>
      <w:r w:rsidRPr="00603CC5">
        <w:rPr>
          <w:rFonts w:ascii="Arial Narrow" w:hAnsi="Arial Narrow"/>
          <w:b/>
          <w:bCs/>
          <w:sz w:val="24"/>
          <w:szCs w:val="24"/>
        </w:rPr>
        <w:t>P R E S E N T E</w:t>
      </w:r>
    </w:p>
    <w:p w14:paraId="6A782F5C" w14:textId="1807F6DA" w:rsidR="009D0150" w:rsidRDefault="009D0150" w:rsidP="003604DC">
      <w:pPr>
        <w:spacing w:line="360" w:lineRule="auto"/>
        <w:jc w:val="both"/>
        <w:rPr>
          <w:rFonts w:ascii="Arial Narrow" w:hAnsi="Arial Narrow"/>
          <w:b/>
          <w:bCs/>
          <w:sz w:val="24"/>
          <w:szCs w:val="24"/>
        </w:rPr>
      </w:pPr>
      <w:r w:rsidRPr="00603CC5">
        <w:rPr>
          <w:rFonts w:ascii="Arial Narrow" w:hAnsi="Arial Narrow"/>
          <w:b/>
          <w:bCs/>
          <w:sz w:val="24"/>
          <w:szCs w:val="24"/>
        </w:rPr>
        <w:t>MTRO. GASPAR ARMANDO QUINTAL PARRA,</w:t>
      </w:r>
      <w:r w:rsidRPr="00603CC5">
        <w:rPr>
          <w:rFonts w:ascii="Arial Narrow" w:hAnsi="Arial Narrow"/>
          <w:sz w:val="24"/>
          <w:szCs w:val="24"/>
        </w:rPr>
        <w:t xml:space="preserve"> Diputado del Partido Revolucionario Institucional de la LXIV Legislatura del H. Congreso del Estado, con fundamento en los artículos 35 fracción I de la Constitución Política; 16 y 22 fracción VI de la Ley de Gobierno del Poder Legislativo, ambos del Estado de Yucatán; someto a consideración de esta Honorable Asamblea, la </w:t>
      </w:r>
      <w:r w:rsidRPr="00603CC5">
        <w:rPr>
          <w:rFonts w:ascii="Arial Narrow" w:hAnsi="Arial Narrow"/>
          <w:b/>
          <w:bCs/>
          <w:sz w:val="24"/>
          <w:szCs w:val="24"/>
        </w:rPr>
        <w:t>INICIATIVA CON PRO</w:t>
      </w:r>
      <w:r w:rsidR="00342E20">
        <w:rPr>
          <w:rFonts w:ascii="Arial Narrow" w:hAnsi="Arial Narrow"/>
          <w:b/>
          <w:bCs/>
          <w:sz w:val="24"/>
          <w:szCs w:val="24"/>
        </w:rPr>
        <w:t xml:space="preserve">YECTO DE DECRETO PARA GARANTIZAR LA ATENCIÓN INTEGRAL </w:t>
      </w:r>
      <w:r w:rsidR="005521B0" w:rsidRPr="0013326A">
        <w:rPr>
          <w:rFonts w:ascii="Arial Narrow" w:hAnsi="Arial Narrow"/>
          <w:b/>
          <w:bCs/>
          <w:color w:val="000000" w:themeColor="text1"/>
          <w:sz w:val="24"/>
          <w:szCs w:val="24"/>
        </w:rPr>
        <w:t>DE</w:t>
      </w:r>
      <w:r w:rsidR="00342E20">
        <w:rPr>
          <w:rFonts w:ascii="Arial Narrow" w:hAnsi="Arial Narrow"/>
          <w:b/>
          <w:bCs/>
          <w:sz w:val="24"/>
          <w:szCs w:val="24"/>
        </w:rPr>
        <w:t xml:space="preserve"> LA SALUD DURANTE EL CLIMATERIO, MENOPAUSIA Y ANDROPAUSIA EN LA LEY DE SALUD DEL ESTADO DE YUCATÁN</w:t>
      </w:r>
      <w:r w:rsidRPr="00603CC5">
        <w:rPr>
          <w:rFonts w:ascii="Arial Narrow" w:hAnsi="Arial Narrow"/>
          <w:b/>
          <w:bCs/>
          <w:sz w:val="24"/>
          <w:szCs w:val="24"/>
        </w:rPr>
        <w:t xml:space="preserve">, </w:t>
      </w:r>
      <w:r w:rsidRPr="00603CC5">
        <w:rPr>
          <w:rFonts w:ascii="Arial Narrow" w:hAnsi="Arial Narrow"/>
          <w:sz w:val="24"/>
          <w:szCs w:val="24"/>
        </w:rPr>
        <w:t>en virtud de la siguiente:</w:t>
      </w:r>
      <w:r w:rsidRPr="00603CC5">
        <w:rPr>
          <w:rFonts w:ascii="Arial Narrow" w:hAnsi="Arial Narrow"/>
          <w:b/>
          <w:bCs/>
          <w:sz w:val="24"/>
          <w:szCs w:val="24"/>
        </w:rPr>
        <w:t xml:space="preserve"> </w:t>
      </w:r>
    </w:p>
    <w:p w14:paraId="1FBDCD6B" w14:textId="77777777" w:rsidR="009D0150" w:rsidRPr="00603CC5" w:rsidRDefault="009D0150" w:rsidP="003604DC">
      <w:pPr>
        <w:spacing w:line="360" w:lineRule="auto"/>
        <w:jc w:val="both"/>
        <w:rPr>
          <w:rFonts w:ascii="Arial Narrow" w:hAnsi="Arial Narrow"/>
          <w:b/>
          <w:bCs/>
          <w:sz w:val="24"/>
          <w:szCs w:val="24"/>
        </w:rPr>
      </w:pPr>
    </w:p>
    <w:p w14:paraId="7252725E" w14:textId="0EF654D3" w:rsidR="00F95356" w:rsidRDefault="009D0150" w:rsidP="0013326A">
      <w:pPr>
        <w:spacing w:before="180" w:after="160" w:line="360" w:lineRule="auto"/>
        <w:jc w:val="center"/>
        <w:rPr>
          <w:rFonts w:ascii="Arial Narrow" w:hAnsi="Arial Narrow"/>
          <w:b/>
          <w:bCs/>
          <w:sz w:val="24"/>
          <w:szCs w:val="24"/>
        </w:rPr>
      </w:pPr>
      <w:r w:rsidRPr="00603CC5">
        <w:rPr>
          <w:rFonts w:ascii="Arial Narrow" w:hAnsi="Arial Narrow"/>
          <w:b/>
          <w:bCs/>
          <w:sz w:val="24"/>
          <w:szCs w:val="24"/>
        </w:rPr>
        <w:t>E X P O S I C I Ó N   D E   M O T I V O S</w:t>
      </w:r>
    </w:p>
    <w:p w14:paraId="1CB83A09" w14:textId="77777777" w:rsidR="0013326A" w:rsidRDefault="00F95356" w:rsidP="0013326A">
      <w:pPr>
        <w:widowControl/>
        <w:spacing w:before="100" w:beforeAutospacing="1" w:after="100" w:afterAutospacing="1" w:line="360" w:lineRule="auto"/>
        <w:ind w:firstLine="708"/>
        <w:jc w:val="both"/>
        <w:rPr>
          <w:rFonts w:ascii="Arial Narrow" w:hAnsi="Arial Narrow"/>
          <w:color w:val="000000" w:themeColor="text1"/>
          <w:sz w:val="24"/>
          <w:szCs w:val="24"/>
        </w:rPr>
      </w:pPr>
      <w:r w:rsidRPr="0013326A">
        <w:rPr>
          <w:rFonts w:ascii="Arial Narrow" w:hAnsi="Arial Narrow"/>
          <w:color w:val="000000" w:themeColor="text1"/>
          <w:sz w:val="24"/>
          <w:szCs w:val="24"/>
        </w:rPr>
        <w:t xml:space="preserve">En un contexto marcado por el envejecimiento demográfico, el aumento de la esperanza de vida y la creciente prevalencia de enfermedades crónicas resulta necesario fortalecer </w:t>
      </w:r>
      <w:r w:rsidR="00E6352E" w:rsidRPr="0013326A">
        <w:rPr>
          <w:rFonts w:ascii="Arial Narrow" w:hAnsi="Arial Narrow"/>
          <w:color w:val="000000" w:themeColor="text1"/>
          <w:sz w:val="24"/>
          <w:szCs w:val="24"/>
        </w:rPr>
        <w:t xml:space="preserve">el marco jurídico local para </w:t>
      </w:r>
      <w:r w:rsidRPr="0013326A">
        <w:rPr>
          <w:rFonts w:ascii="Arial Narrow" w:hAnsi="Arial Narrow"/>
          <w:color w:val="000000" w:themeColor="text1"/>
          <w:sz w:val="24"/>
          <w:szCs w:val="24"/>
        </w:rPr>
        <w:t>la atención de los cambios hormonales asociados al envejecimiento</w:t>
      </w:r>
      <w:r w:rsidR="006A2B4C" w:rsidRPr="0013326A">
        <w:rPr>
          <w:rFonts w:ascii="Arial Narrow" w:hAnsi="Arial Narrow"/>
          <w:color w:val="000000" w:themeColor="text1"/>
          <w:sz w:val="24"/>
          <w:szCs w:val="24"/>
        </w:rPr>
        <w:t xml:space="preserve"> como son</w:t>
      </w:r>
      <w:r w:rsidR="00CC1DE0" w:rsidRPr="0013326A">
        <w:rPr>
          <w:rFonts w:ascii="Arial Narrow" w:hAnsi="Arial Narrow"/>
          <w:color w:val="000000" w:themeColor="text1"/>
          <w:sz w:val="24"/>
          <w:szCs w:val="24"/>
        </w:rPr>
        <w:t>:</w:t>
      </w:r>
      <w:r w:rsidR="006A2B4C" w:rsidRPr="0013326A">
        <w:rPr>
          <w:rFonts w:ascii="Arial Narrow" w:hAnsi="Arial Narrow"/>
          <w:color w:val="000000" w:themeColor="text1"/>
          <w:sz w:val="24"/>
          <w:szCs w:val="24"/>
        </w:rPr>
        <w:t xml:space="preserve"> </w:t>
      </w:r>
      <w:r w:rsidRPr="0013326A">
        <w:rPr>
          <w:rFonts w:ascii="Arial Narrow" w:hAnsi="Arial Narrow"/>
          <w:color w:val="000000" w:themeColor="text1"/>
          <w:sz w:val="24"/>
          <w:szCs w:val="24"/>
        </w:rPr>
        <w:t xml:space="preserve">la perimenopausia, la menopausia, la posmenopausia y el déficit androgénico asociado a la edad </w:t>
      </w:r>
      <w:r w:rsidR="006A2B4C" w:rsidRPr="0013326A">
        <w:rPr>
          <w:rFonts w:ascii="Arial Narrow" w:hAnsi="Arial Narrow"/>
          <w:color w:val="000000" w:themeColor="text1"/>
          <w:sz w:val="24"/>
          <w:szCs w:val="24"/>
        </w:rPr>
        <w:t>que si bien</w:t>
      </w:r>
      <w:r w:rsidR="00CC1DE0" w:rsidRPr="0013326A">
        <w:rPr>
          <w:rFonts w:ascii="Arial Narrow" w:hAnsi="Arial Narrow"/>
          <w:color w:val="000000" w:themeColor="text1"/>
          <w:sz w:val="24"/>
          <w:szCs w:val="24"/>
        </w:rPr>
        <w:t>,</w:t>
      </w:r>
      <w:r w:rsidR="006A2B4C" w:rsidRPr="0013326A">
        <w:rPr>
          <w:rFonts w:ascii="Arial Narrow" w:hAnsi="Arial Narrow"/>
          <w:color w:val="000000" w:themeColor="text1"/>
          <w:sz w:val="24"/>
          <w:szCs w:val="24"/>
        </w:rPr>
        <w:t xml:space="preserve"> </w:t>
      </w:r>
      <w:r w:rsidRPr="0013326A">
        <w:rPr>
          <w:rFonts w:ascii="Arial Narrow" w:hAnsi="Arial Narrow"/>
          <w:color w:val="000000" w:themeColor="text1"/>
          <w:sz w:val="24"/>
          <w:szCs w:val="24"/>
        </w:rPr>
        <w:t>forman parte natural del desarrollo humano</w:t>
      </w:r>
      <w:r w:rsidR="00CC1DE0" w:rsidRPr="0013326A">
        <w:rPr>
          <w:rFonts w:ascii="Arial Narrow" w:hAnsi="Arial Narrow"/>
          <w:color w:val="000000" w:themeColor="text1"/>
          <w:sz w:val="24"/>
          <w:szCs w:val="24"/>
        </w:rPr>
        <w:t>,</w:t>
      </w:r>
      <w:r w:rsidRPr="0013326A">
        <w:rPr>
          <w:rFonts w:ascii="Arial Narrow" w:hAnsi="Arial Narrow"/>
          <w:color w:val="000000" w:themeColor="text1"/>
          <w:sz w:val="24"/>
          <w:szCs w:val="24"/>
        </w:rPr>
        <w:t xml:space="preserve"> pueden generar afectaciones relevantes en la salud física, emocional y social cuando no existe acceso oportuno a información, prevención, diagnóstico, tratamiento y acompañamiento especializado.</w:t>
      </w:r>
    </w:p>
    <w:p w14:paraId="04765143" w14:textId="05976988" w:rsidR="00F95356" w:rsidRPr="0013326A" w:rsidRDefault="00F95356" w:rsidP="0013326A">
      <w:pPr>
        <w:widowControl/>
        <w:spacing w:before="100" w:beforeAutospacing="1" w:after="100" w:afterAutospacing="1" w:line="360" w:lineRule="auto"/>
        <w:ind w:firstLine="708"/>
        <w:jc w:val="both"/>
        <w:rPr>
          <w:rFonts w:ascii="Arial Narrow" w:hAnsi="Arial Narrow"/>
          <w:color w:val="000000" w:themeColor="text1"/>
          <w:sz w:val="24"/>
          <w:szCs w:val="24"/>
        </w:rPr>
      </w:pPr>
      <w:r w:rsidRPr="0013326A">
        <w:rPr>
          <w:rFonts w:ascii="Arial Narrow" w:hAnsi="Arial Narrow"/>
          <w:color w:val="000000" w:themeColor="text1"/>
          <w:sz w:val="24"/>
          <w:szCs w:val="24"/>
        </w:rPr>
        <w:t xml:space="preserve">Ante esta realidad, el Partido Revolucionario Institucional presenta </w:t>
      </w:r>
      <w:r w:rsidR="00CC1DE0" w:rsidRPr="0013326A">
        <w:rPr>
          <w:rFonts w:ascii="Arial Narrow" w:hAnsi="Arial Narrow"/>
          <w:color w:val="000000" w:themeColor="text1"/>
          <w:sz w:val="24"/>
          <w:szCs w:val="24"/>
        </w:rPr>
        <w:t xml:space="preserve">esta </w:t>
      </w:r>
      <w:r w:rsidRPr="0013326A">
        <w:rPr>
          <w:rFonts w:ascii="Arial Narrow" w:hAnsi="Arial Narrow"/>
          <w:color w:val="000000" w:themeColor="text1"/>
          <w:sz w:val="24"/>
          <w:szCs w:val="24"/>
        </w:rPr>
        <w:t>iniciativa con el propósito de garantizar una atención digna, accesible y sustentada en evidencia científica para quienes atraviesan estas etapas de la vida, especialmente frente a los desafíos que representa el progresivo envejecimiento de la población yucateca.</w:t>
      </w:r>
    </w:p>
    <w:p w14:paraId="5CD431F3" w14:textId="4BD5C8E7" w:rsidR="00E05B78" w:rsidRPr="0013326A" w:rsidRDefault="00664383" w:rsidP="00E05B78">
      <w:pPr>
        <w:widowControl/>
        <w:tabs>
          <w:tab w:val="num" w:pos="720"/>
        </w:tabs>
        <w:spacing w:before="100" w:beforeAutospacing="1" w:after="100" w:afterAutospacing="1" w:line="360" w:lineRule="auto"/>
        <w:jc w:val="both"/>
        <w:rPr>
          <w:rFonts w:ascii="Arial Narrow" w:hAnsi="Arial Narrow"/>
          <w:color w:val="000000" w:themeColor="text1"/>
          <w:sz w:val="24"/>
          <w:szCs w:val="24"/>
        </w:rPr>
      </w:pPr>
      <w:r>
        <w:rPr>
          <w:rFonts w:ascii="Arial Narrow" w:hAnsi="Arial Narrow"/>
          <w:sz w:val="24"/>
          <w:szCs w:val="24"/>
        </w:rPr>
        <w:t xml:space="preserve">     </w:t>
      </w:r>
      <w:r w:rsidR="004975F1">
        <w:rPr>
          <w:rFonts w:ascii="Arial Narrow" w:hAnsi="Arial Narrow"/>
          <w:sz w:val="24"/>
          <w:szCs w:val="24"/>
        </w:rPr>
        <w:t>L</w:t>
      </w:r>
      <w:r w:rsidR="00E723BC">
        <w:rPr>
          <w:rFonts w:ascii="Arial Narrow" w:hAnsi="Arial Narrow"/>
          <w:sz w:val="24"/>
          <w:szCs w:val="24"/>
        </w:rPr>
        <w:t xml:space="preserve">a menopausia, </w:t>
      </w:r>
      <w:r w:rsidR="0006023E">
        <w:rPr>
          <w:rFonts w:ascii="Arial Narrow" w:hAnsi="Arial Narrow"/>
          <w:sz w:val="24"/>
          <w:szCs w:val="24"/>
        </w:rPr>
        <w:t xml:space="preserve">de acuerdo </w:t>
      </w:r>
      <w:r w:rsidR="004975F1">
        <w:rPr>
          <w:rFonts w:ascii="Arial Narrow" w:hAnsi="Arial Narrow"/>
          <w:sz w:val="24"/>
          <w:szCs w:val="24"/>
        </w:rPr>
        <w:t xml:space="preserve">con </w:t>
      </w:r>
      <w:r w:rsidR="004975F1" w:rsidRPr="00E723BC">
        <w:rPr>
          <w:rFonts w:ascii="Arial Narrow" w:hAnsi="Arial Narrow"/>
          <w:sz w:val="24"/>
          <w:szCs w:val="24"/>
        </w:rPr>
        <w:t>la</w:t>
      </w:r>
      <w:r w:rsidR="00E723BC" w:rsidRPr="00E723BC">
        <w:rPr>
          <w:rFonts w:ascii="Arial Narrow" w:hAnsi="Arial Narrow"/>
          <w:sz w:val="24"/>
          <w:szCs w:val="24"/>
        </w:rPr>
        <w:t xml:space="preserve"> Organización Mundial de la Salud</w:t>
      </w:r>
      <w:r w:rsidR="004975F1">
        <w:rPr>
          <w:rFonts w:ascii="Arial Narrow" w:hAnsi="Arial Narrow"/>
          <w:sz w:val="24"/>
          <w:szCs w:val="24"/>
        </w:rPr>
        <w:t xml:space="preserve"> </w:t>
      </w:r>
      <w:r w:rsidR="00E723BC" w:rsidRPr="00E723BC">
        <w:rPr>
          <w:rFonts w:ascii="Arial Narrow" w:hAnsi="Arial Narrow"/>
          <w:sz w:val="24"/>
          <w:szCs w:val="24"/>
        </w:rPr>
        <w:t xml:space="preserve">establece que es el cese permanente de la menstruación debido a la pérdida de la actividad folicular ovárica, considerándose que se ha producido cuando han transcurrido doce meses consecutivos sin menstruación. Generalmente, la menopausia ocurre entre los 45 y 55 </w:t>
      </w:r>
      <w:r w:rsidR="002F016A" w:rsidRPr="00E723BC">
        <w:rPr>
          <w:rFonts w:ascii="Arial Narrow" w:hAnsi="Arial Narrow"/>
          <w:sz w:val="24"/>
          <w:szCs w:val="24"/>
        </w:rPr>
        <w:t>años</w:t>
      </w:r>
      <w:r w:rsidR="00E723BC" w:rsidRPr="00E723BC">
        <w:rPr>
          <w:rFonts w:ascii="Arial Narrow" w:hAnsi="Arial Narrow"/>
          <w:sz w:val="24"/>
          <w:szCs w:val="24"/>
        </w:rPr>
        <w:t xml:space="preserve">; sin embargo, entre un 5% de las mujeres experimenta menopausia temprana, presentándose entre los 40 y 45 años, y aproximadamente un </w:t>
      </w:r>
      <w:r w:rsidR="00E723BC" w:rsidRPr="00E723BC">
        <w:rPr>
          <w:rFonts w:ascii="Arial Narrow" w:hAnsi="Arial Narrow"/>
          <w:sz w:val="24"/>
          <w:szCs w:val="24"/>
        </w:rPr>
        <w:lastRenderedPageBreak/>
        <w:t>3.7% puede desarrollarla antes de los 40 años</w:t>
      </w:r>
      <w:r w:rsidR="00D26488">
        <w:rPr>
          <w:rFonts w:ascii="Arial Narrow" w:hAnsi="Arial Narrow"/>
          <w:sz w:val="24"/>
          <w:szCs w:val="24"/>
        </w:rPr>
        <w:t xml:space="preserve">; </w:t>
      </w:r>
      <w:r w:rsidR="00D26488" w:rsidRPr="0013326A">
        <w:rPr>
          <w:rFonts w:ascii="Arial Narrow" w:hAnsi="Arial Narrow"/>
          <w:color w:val="000000" w:themeColor="text1"/>
          <w:sz w:val="24"/>
          <w:szCs w:val="24"/>
        </w:rPr>
        <w:t xml:space="preserve">y por su parte, </w:t>
      </w:r>
      <w:r w:rsidR="00E05B78" w:rsidRPr="0013326A">
        <w:rPr>
          <w:rFonts w:ascii="Arial Narrow" w:hAnsi="Arial Narrow"/>
          <w:color w:val="000000" w:themeColor="text1"/>
          <w:sz w:val="24"/>
          <w:szCs w:val="24"/>
        </w:rPr>
        <w:t>la NOM</w:t>
      </w:r>
      <w:r w:rsidR="00D26488" w:rsidRPr="0013326A">
        <w:rPr>
          <w:rFonts w:ascii="Arial Narrow" w:hAnsi="Arial Narrow"/>
          <w:color w:val="000000" w:themeColor="text1"/>
          <w:sz w:val="24"/>
          <w:szCs w:val="24"/>
        </w:rPr>
        <w:t>-035-SSA2-2012 sobre la perimenopausia y postmenopausia</w:t>
      </w:r>
      <w:r w:rsidR="00E05B78" w:rsidRPr="0013326A">
        <w:rPr>
          <w:rFonts w:ascii="Arial Narrow" w:hAnsi="Arial Narrow"/>
          <w:color w:val="000000" w:themeColor="text1"/>
          <w:sz w:val="24"/>
          <w:szCs w:val="24"/>
        </w:rPr>
        <w:t>, define estos conceptos como, el periodo de cinco años previos y un año posterior a la última menstruación y el tiempo desde la menopausia hasta el final de la vida, respectivamente.</w:t>
      </w:r>
    </w:p>
    <w:p w14:paraId="76153D15" w14:textId="77777777" w:rsidR="003B7999" w:rsidRDefault="00BB49EB" w:rsidP="003604DC">
      <w:pPr>
        <w:widowControl/>
        <w:spacing w:before="100" w:beforeAutospacing="1" w:after="100" w:afterAutospacing="1" w:line="360" w:lineRule="auto"/>
        <w:ind w:firstLine="708"/>
        <w:jc w:val="both"/>
        <w:rPr>
          <w:rFonts w:ascii="Arial Narrow" w:hAnsi="Arial Narrow"/>
          <w:sz w:val="24"/>
          <w:szCs w:val="24"/>
        </w:rPr>
      </w:pPr>
      <w:r>
        <w:rPr>
          <w:rFonts w:ascii="Arial Narrow" w:hAnsi="Arial Narrow"/>
          <w:sz w:val="24"/>
          <w:szCs w:val="24"/>
        </w:rPr>
        <w:t>L</w:t>
      </w:r>
      <w:r w:rsidRPr="00BB49EB">
        <w:rPr>
          <w:rFonts w:ascii="Arial Narrow" w:hAnsi="Arial Narrow"/>
          <w:sz w:val="24"/>
          <w:szCs w:val="24"/>
        </w:rPr>
        <w:t>a menopausia conlleva una serie de cambios hormonales que pueden influir de manera importante en la salud física, emocional y mental de las mujeres</w:t>
      </w:r>
      <w:r>
        <w:rPr>
          <w:rFonts w:ascii="Arial Narrow" w:hAnsi="Arial Narrow"/>
          <w:sz w:val="24"/>
          <w:szCs w:val="24"/>
        </w:rPr>
        <w:t>; s</w:t>
      </w:r>
      <w:r w:rsidRPr="00BB49EB">
        <w:rPr>
          <w:rFonts w:ascii="Arial Narrow" w:hAnsi="Arial Narrow"/>
          <w:sz w:val="24"/>
          <w:szCs w:val="24"/>
        </w:rPr>
        <w:t xml:space="preserve">i bien su intensidad varía de una persona a otra, en numerosos casos estos cambios generan síntomas y condiciones que afectan el desempeño de las actividades cotidianas y el bienestar general. </w:t>
      </w:r>
      <w:r w:rsidR="003B7999">
        <w:rPr>
          <w:rFonts w:ascii="Arial Narrow" w:hAnsi="Arial Narrow"/>
          <w:sz w:val="24"/>
          <w:szCs w:val="24"/>
        </w:rPr>
        <w:t xml:space="preserve"> </w:t>
      </w:r>
      <w:r w:rsidRPr="00BB49EB">
        <w:rPr>
          <w:rFonts w:ascii="Arial Narrow" w:hAnsi="Arial Narrow"/>
          <w:sz w:val="24"/>
          <w:szCs w:val="24"/>
        </w:rPr>
        <w:t>La Organización Mundial de la Salud ha reconocido que estas condiciones pueden tener repercusiones significativas en la calidad de vida, por lo que resulta indispensable promover estrategias de prevención, atención y acompañamiento integral durante esta etapa.</w:t>
      </w:r>
    </w:p>
    <w:p w14:paraId="7D2A49B5" w14:textId="3EEBC5EF" w:rsidR="00116FDF" w:rsidRDefault="00116FDF" w:rsidP="003604DC">
      <w:pPr>
        <w:widowControl/>
        <w:spacing w:before="100" w:beforeAutospacing="1" w:after="100" w:afterAutospacing="1" w:line="360" w:lineRule="auto"/>
        <w:ind w:firstLine="708"/>
        <w:jc w:val="both"/>
        <w:rPr>
          <w:rFonts w:ascii="Arial Narrow" w:hAnsi="Arial Narrow"/>
          <w:sz w:val="24"/>
          <w:szCs w:val="24"/>
        </w:rPr>
      </w:pPr>
      <w:r>
        <w:rPr>
          <w:rFonts w:ascii="Arial Narrow" w:hAnsi="Arial Narrow"/>
          <w:sz w:val="24"/>
          <w:szCs w:val="24"/>
        </w:rPr>
        <w:t xml:space="preserve">A continuación, se enlistan </w:t>
      </w:r>
      <w:r w:rsidRPr="00116FDF">
        <w:rPr>
          <w:rFonts w:ascii="Arial Narrow" w:hAnsi="Arial Narrow"/>
          <w:sz w:val="24"/>
          <w:szCs w:val="24"/>
        </w:rPr>
        <w:t>algunos de los síntomas asociados a la menopausia</w:t>
      </w:r>
      <w:r>
        <w:rPr>
          <w:rFonts w:ascii="Arial Narrow" w:hAnsi="Arial Narrow"/>
          <w:sz w:val="24"/>
          <w:szCs w:val="24"/>
        </w:rPr>
        <w:t xml:space="preserve"> en el siguiente cuadro:</w:t>
      </w:r>
    </w:p>
    <w:tbl>
      <w:tblPr>
        <w:tblStyle w:val="Tablaconcuadrcula"/>
        <w:tblW w:w="0" w:type="auto"/>
        <w:tblLook w:val="04A0" w:firstRow="1" w:lastRow="0" w:firstColumn="1" w:lastColumn="0" w:noHBand="0" w:noVBand="1"/>
      </w:tblPr>
      <w:tblGrid>
        <w:gridCol w:w="8828"/>
      </w:tblGrid>
      <w:tr w:rsidR="00116FDF" w14:paraId="30146ED4" w14:textId="77777777" w:rsidTr="00E723BC">
        <w:tc>
          <w:tcPr>
            <w:tcW w:w="8828" w:type="dxa"/>
            <w:shd w:val="clear" w:color="auto" w:fill="8EAADB" w:themeFill="accent5" w:themeFillTint="99"/>
          </w:tcPr>
          <w:p w14:paraId="459995CB" w14:textId="585960B5" w:rsidR="00116FDF" w:rsidRPr="00116FDF" w:rsidRDefault="00116FDF" w:rsidP="003604DC">
            <w:pPr>
              <w:widowControl/>
              <w:spacing w:before="100" w:beforeAutospacing="1" w:after="100" w:afterAutospacing="1" w:line="360" w:lineRule="auto"/>
              <w:jc w:val="center"/>
              <w:rPr>
                <w:rFonts w:ascii="Arial Narrow" w:hAnsi="Arial Narrow"/>
                <w:b/>
                <w:bCs/>
                <w:sz w:val="24"/>
                <w:szCs w:val="24"/>
              </w:rPr>
            </w:pPr>
            <w:r>
              <w:rPr>
                <w:rFonts w:ascii="Arial Narrow" w:hAnsi="Arial Narrow"/>
                <w:b/>
                <w:bCs/>
                <w:sz w:val="24"/>
                <w:szCs w:val="24"/>
              </w:rPr>
              <w:t>SÍNTOMAS ASOCIADOS A LA MENOPAUSIA</w:t>
            </w:r>
          </w:p>
        </w:tc>
      </w:tr>
      <w:tr w:rsidR="00116FDF" w14:paraId="7FC1569E" w14:textId="77777777" w:rsidTr="00E723BC">
        <w:tc>
          <w:tcPr>
            <w:tcW w:w="8828" w:type="dxa"/>
            <w:shd w:val="clear" w:color="auto" w:fill="DEEAF6" w:themeFill="accent1" w:themeFillTint="33"/>
          </w:tcPr>
          <w:p w14:paraId="1AEC8BF1" w14:textId="491A411E" w:rsidR="00116FDF" w:rsidRPr="00116FDF" w:rsidRDefault="00116FDF" w:rsidP="003604DC">
            <w:pPr>
              <w:widowControl/>
              <w:spacing w:before="100" w:beforeAutospacing="1" w:after="100" w:afterAutospacing="1" w:line="360" w:lineRule="auto"/>
              <w:jc w:val="both"/>
              <w:rPr>
                <w:rFonts w:ascii="Arial Narrow" w:hAnsi="Arial Narrow"/>
                <w:sz w:val="24"/>
                <w:szCs w:val="24"/>
              </w:rPr>
            </w:pPr>
            <w:r w:rsidRPr="00116FDF">
              <w:rPr>
                <w:rFonts w:ascii="Arial Narrow" w:hAnsi="Arial Narrow"/>
                <w:b/>
                <w:bCs/>
                <w:sz w:val="24"/>
                <w:szCs w:val="24"/>
              </w:rPr>
              <w:t>Sofocos y sudores nocturnos.</w:t>
            </w:r>
            <w:r w:rsidRPr="00116FDF">
              <w:rPr>
                <w:rFonts w:ascii="Arial Narrow" w:hAnsi="Arial Narrow"/>
                <w:sz w:val="24"/>
                <w:szCs w:val="24"/>
              </w:rPr>
              <w:t xml:space="preserve"> Los sofocos consisten en una sensación repentina de calor en la cara, el cuello y el pecho, a menudo acompañada de enrojecimiento de la piel, transpiración (sudoración), palpitaciones y sensaciones agudas de malestar físico que pueden durar varios minutos.</w:t>
            </w:r>
          </w:p>
        </w:tc>
      </w:tr>
      <w:tr w:rsidR="00116FDF" w14:paraId="1D1EF3E7" w14:textId="77777777" w:rsidTr="00E723BC">
        <w:tc>
          <w:tcPr>
            <w:tcW w:w="8828" w:type="dxa"/>
            <w:shd w:val="clear" w:color="auto" w:fill="DEEAF6" w:themeFill="accent1" w:themeFillTint="33"/>
          </w:tcPr>
          <w:p w14:paraId="3724E2D6" w14:textId="6267D304" w:rsidR="00116FDF" w:rsidRPr="00E723BC" w:rsidRDefault="00E723BC" w:rsidP="003604DC">
            <w:pPr>
              <w:widowControl/>
              <w:spacing w:before="100" w:beforeAutospacing="1" w:after="100" w:afterAutospacing="1" w:line="360" w:lineRule="auto"/>
              <w:jc w:val="both"/>
              <w:rPr>
                <w:rFonts w:ascii="Arial Narrow" w:hAnsi="Arial Narrow"/>
                <w:b/>
                <w:bCs/>
                <w:sz w:val="24"/>
                <w:szCs w:val="24"/>
              </w:rPr>
            </w:pPr>
            <w:r w:rsidRPr="00E723BC">
              <w:rPr>
                <w:rFonts w:ascii="Arial Narrow" w:hAnsi="Arial Narrow"/>
                <w:b/>
                <w:bCs/>
                <w:sz w:val="24"/>
                <w:szCs w:val="24"/>
              </w:rPr>
              <w:t>Cambios en la regularidad y el flujo del ciclo menstrual, que culminan con el cese de la menstruación.</w:t>
            </w:r>
          </w:p>
        </w:tc>
      </w:tr>
      <w:tr w:rsidR="00116FDF" w14:paraId="049051AB" w14:textId="77777777" w:rsidTr="00E723BC">
        <w:tc>
          <w:tcPr>
            <w:tcW w:w="8828" w:type="dxa"/>
            <w:shd w:val="clear" w:color="auto" w:fill="DEEAF6" w:themeFill="accent1" w:themeFillTint="33"/>
          </w:tcPr>
          <w:p w14:paraId="477F9552" w14:textId="097221DF" w:rsidR="00116FDF" w:rsidRPr="00E723BC" w:rsidRDefault="00E723BC" w:rsidP="003604DC">
            <w:pPr>
              <w:widowControl/>
              <w:spacing w:before="100" w:beforeAutospacing="1" w:after="100" w:afterAutospacing="1" w:line="360" w:lineRule="auto"/>
              <w:jc w:val="both"/>
              <w:rPr>
                <w:rFonts w:ascii="Arial Narrow" w:hAnsi="Arial Narrow"/>
                <w:b/>
                <w:bCs/>
                <w:sz w:val="24"/>
                <w:szCs w:val="24"/>
              </w:rPr>
            </w:pPr>
            <w:r w:rsidRPr="00E723BC">
              <w:rPr>
                <w:rFonts w:ascii="Arial Narrow" w:hAnsi="Arial Narrow"/>
                <w:b/>
                <w:bCs/>
                <w:sz w:val="24"/>
                <w:szCs w:val="24"/>
              </w:rPr>
              <w:t>Sequedad vaginal, dolor durante las relaciones sexuales e incontinencia.</w:t>
            </w:r>
          </w:p>
        </w:tc>
      </w:tr>
      <w:tr w:rsidR="00116FDF" w14:paraId="3AC04543" w14:textId="77777777" w:rsidTr="00E723BC">
        <w:tc>
          <w:tcPr>
            <w:tcW w:w="8828" w:type="dxa"/>
            <w:shd w:val="clear" w:color="auto" w:fill="DEEAF6" w:themeFill="accent1" w:themeFillTint="33"/>
          </w:tcPr>
          <w:p w14:paraId="2F99CFA9" w14:textId="5DF4BAB8" w:rsidR="00116FDF" w:rsidRPr="00E723BC" w:rsidRDefault="00E723BC" w:rsidP="003604DC">
            <w:pPr>
              <w:widowControl/>
              <w:spacing w:before="100" w:beforeAutospacing="1" w:after="100" w:afterAutospacing="1" w:line="360" w:lineRule="auto"/>
              <w:jc w:val="both"/>
              <w:rPr>
                <w:rFonts w:ascii="Arial Narrow" w:hAnsi="Arial Narrow"/>
                <w:b/>
                <w:bCs/>
                <w:sz w:val="24"/>
                <w:szCs w:val="24"/>
              </w:rPr>
            </w:pPr>
            <w:r w:rsidRPr="00E723BC">
              <w:rPr>
                <w:rFonts w:ascii="Arial Narrow" w:hAnsi="Arial Narrow"/>
                <w:b/>
                <w:bCs/>
                <w:sz w:val="24"/>
                <w:szCs w:val="24"/>
              </w:rPr>
              <w:t>Dificultad para dormir/insomnio.</w:t>
            </w:r>
          </w:p>
        </w:tc>
      </w:tr>
      <w:tr w:rsidR="00116FDF" w14:paraId="63AB7F58" w14:textId="77777777" w:rsidTr="00E723BC">
        <w:tc>
          <w:tcPr>
            <w:tcW w:w="8828" w:type="dxa"/>
            <w:shd w:val="clear" w:color="auto" w:fill="DEEAF6" w:themeFill="accent1" w:themeFillTint="33"/>
          </w:tcPr>
          <w:p w14:paraId="7D2DDE06" w14:textId="1B6A1C8A" w:rsidR="00116FDF" w:rsidRPr="00E723BC" w:rsidRDefault="00E723BC" w:rsidP="003604DC">
            <w:pPr>
              <w:widowControl/>
              <w:spacing w:before="100" w:beforeAutospacing="1" w:after="100" w:afterAutospacing="1" w:line="360" w:lineRule="auto"/>
              <w:jc w:val="both"/>
              <w:rPr>
                <w:rFonts w:ascii="Arial Narrow" w:hAnsi="Arial Narrow"/>
                <w:b/>
                <w:bCs/>
                <w:sz w:val="24"/>
                <w:szCs w:val="24"/>
              </w:rPr>
            </w:pPr>
            <w:r w:rsidRPr="00E723BC">
              <w:rPr>
                <w:rFonts w:ascii="Arial Narrow" w:hAnsi="Arial Narrow"/>
                <w:b/>
                <w:bCs/>
                <w:sz w:val="24"/>
                <w:szCs w:val="24"/>
              </w:rPr>
              <w:t>Cambios en el estado de ánimo, depresión y/o ansiedad.</w:t>
            </w:r>
          </w:p>
        </w:tc>
      </w:tr>
      <w:tr w:rsidR="00B463D5" w:rsidRPr="00B463D5" w14:paraId="2D6E19C0" w14:textId="77777777" w:rsidTr="00E723BC">
        <w:tc>
          <w:tcPr>
            <w:tcW w:w="8828" w:type="dxa"/>
            <w:shd w:val="clear" w:color="auto" w:fill="DEEAF6" w:themeFill="accent1" w:themeFillTint="33"/>
          </w:tcPr>
          <w:p w14:paraId="47B95E93" w14:textId="0860CAC3" w:rsidR="00B463D5" w:rsidRPr="00B463D5" w:rsidRDefault="00B463D5" w:rsidP="003604DC">
            <w:pPr>
              <w:widowControl/>
              <w:spacing w:before="100" w:beforeAutospacing="1" w:after="100" w:afterAutospacing="1" w:line="360" w:lineRule="auto"/>
              <w:jc w:val="both"/>
              <w:rPr>
                <w:rFonts w:ascii="Arial Narrow" w:hAnsi="Arial Narrow"/>
                <w:b/>
                <w:bCs/>
                <w:sz w:val="24"/>
                <w:szCs w:val="24"/>
              </w:rPr>
            </w:pPr>
            <w:r w:rsidRPr="00B463D5">
              <w:rPr>
                <w:rFonts w:ascii="Arial Narrow" w:hAnsi="Arial Narrow"/>
                <w:b/>
                <w:bCs/>
                <w:sz w:val="24"/>
                <w:szCs w:val="24"/>
              </w:rPr>
              <w:t>Pérdida progresiva de densidad ósea, factor que incrementa el riesgo de osteoporosis y fracturas.</w:t>
            </w:r>
          </w:p>
        </w:tc>
      </w:tr>
    </w:tbl>
    <w:p w14:paraId="0EEFB7B5" w14:textId="6766A801" w:rsidR="00EE4104" w:rsidRDefault="00E723BC" w:rsidP="00D62ED4">
      <w:pPr>
        <w:widowControl/>
        <w:spacing w:before="100" w:beforeAutospacing="1" w:after="100" w:afterAutospacing="1" w:line="360" w:lineRule="auto"/>
        <w:jc w:val="both"/>
        <w:rPr>
          <w:rFonts w:ascii="Arial Narrow" w:hAnsi="Arial Narrow"/>
          <w:sz w:val="24"/>
          <w:szCs w:val="24"/>
        </w:rPr>
      </w:pPr>
      <w:r>
        <w:rPr>
          <w:rFonts w:ascii="Arial Narrow" w:hAnsi="Arial Narrow"/>
          <w:sz w:val="24"/>
          <w:szCs w:val="24"/>
        </w:rPr>
        <w:tab/>
      </w:r>
      <w:r w:rsidR="00EE4104">
        <w:rPr>
          <w:rFonts w:ascii="Arial Narrow" w:hAnsi="Arial Narrow"/>
          <w:sz w:val="24"/>
          <w:szCs w:val="24"/>
        </w:rPr>
        <w:t xml:space="preserve">Por otro lado, el climaterio </w:t>
      </w:r>
      <w:r w:rsidR="00EE4104" w:rsidRPr="00EE4104">
        <w:rPr>
          <w:rFonts w:ascii="Arial Narrow" w:hAnsi="Arial Narrow"/>
          <w:sz w:val="24"/>
          <w:szCs w:val="24"/>
        </w:rPr>
        <w:t xml:space="preserve">constituye una etapa de transición entre la vida reproductiva y la no reproductiva de las mujeres. De acuerdo con la Revista de la Facultad de Medicina de la </w:t>
      </w:r>
      <w:r w:rsidR="00EE4104" w:rsidRPr="00EE4104">
        <w:rPr>
          <w:rFonts w:ascii="Arial Narrow" w:hAnsi="Arial Narrow"/>
          <w:sz w:val="24"/>
          <w:szCs w:val="24"/>
        </w:rPr>
        <w:lastRenderedPageBreak/>
        <w:t>Universidad Nacional Autónoma de México, este proceso inicia aproximadamente un año antes de la menopausia, cuando comienzan los cambios hormonales y la aparición de síntomas, y puede extenderse hasta un año después de esta.</w:t>
      </w:r>
    </w:p>
    <w:p w14:paraId="65EB570D" w14:textId="42809308" w:rsidR="00EE4104" w:rsidRDefault="0006023E" w:rsidP="003604DC">
      <w:pPr>
        <w:widowControl/>
        <w:spacing w:before="100" w:beforeAutospacing="1" w:after="100" w:afterAutospacing="1" w:line="360" w:lineRule="auto"/>
        <w:ind w:firstLine="708"/>
        <w:jc w:val="both"/>
        <w:rPr>
          <w:rFonts w:ascii="Arial Narrow" w:hAnsi="Arial Narrow"/>
          <w:sz w:val="24"/>
          <w:szCs w:val="24"/>
        </w:rPr>
      </w:pPr>
      <w:r>
        <w:rPr>
          <w:rFonts w:ascii="Arial Narrow" w:hAnsi="Arial Narrow"/>
          <w:sz w:val="24"/>
          <w:szCs w:val="24"/>
        </w:rPr>
        <w:t>A continuación, se presentan algunos de los síntomas más comunes asociados al climaterio:</w:t>
      </w:r>
    </w:p>
    <w:tbl>
      <w:tblPr>
        <w:tblStyle w:val="Tablaconcuadrcula"/>
        <w:tblW w:w="0" w:type="auto"/>
        <w:tblLook w:val="04A0" w:firstRow="1" w:lastRow="0" w:firstColumn="1" w:lastColumn="0" w:noHBand="0" w:noVBand="1"/>
      </w:tblPr>
      <w:tblGrid>
        <w:gridCol w:w="4414"/>
        <w:gridCol w:w="4414"/>
      </w:tblGrid>
      <w:tr w:rsidR="00EE4104" w14:paraId="07DADD8A" w14:textId="77777777" w:rsidTr="00EA43AE">
        <w:tc>
          <w:tcPr>
            <w:tcW w:w="8828" w:type="dxa"/>
            <w:gridSpan w:val="2"/>
            <w:shd w:val="clear" w:color="auto" w:fill="8EAADB" w:themeFill="accent5" w:themeFillTint="99"/>
          </w:tcPr>
          <w:p w14:paraId="184AC7AC" w14:textId="505246CD" w:rsidR="00EE4104" w:rsidRPr="00EE4104" w:rsidRDefault="00EE4104" w:rsidP="003604DC">
            <w:pPr>
              <w:widowControl/>
              <w:spacing w:before="100" w:beforeAutospacing="1" w:after="100" w:afterAutospacing="1" w:line="360" w:lineRule="auto"/>
              <w:jc w:val="center"/>
              <w:rPr>
                <w:rFonts w:ascii="Arial Narrow" w:hAnsi="Arial Narrow"/>
                <w:b/>
                <w:bCs/>
                <w:sz w:val="24"/>
                <w:szCs w:val="24"/>
              </w:rPr>
            </w:pPr>
            <w:r w:rsidRPr="00EE4104">
              <w:rPr>
                <w:rFonts w:ascii="Arial Narrow" w:hAnsi="Arial Narrow"/>
                <w:b/>
                <w:bCs/>
                <w:sz w:val="24"/>
                <w:szCs w:val="24"/>
              </w:rPr>
              <w:t xml:space="preserve">SÍNTOMAS </w:t>
            </w:r>
            <w:r w:rsidR="005132D2">
              <w:rPr>
                <w:rFonts w:ascii="Arial Narrow" w:hAnsi="Arial Narrow"/>
                <w:b/>
                <w:bCs/>
                <w:sz w:val="24"/>
                <w:szCs w:val="24"/>
              </w:rPr>
              <w:t xml:space="preserve">Y RIESGOS </w:t>
            </w:r>
            <w:r w:rsidRPr="00EE4104">
              <w:rPr>
                <w:rFonts w:ascii="Arial Narrow" w:hAnsi="Arial Narrow"/>
                <w:b/>
                <w:bCs/>
                <w:sz w:val="24"/>
                <w:szCs w:val="24"/>
              </w:rPr>
              <w:t>ASOCIADOS AL CLIMATERIO</w:t>
            </w:r>
          </w:p>
        </w:tc>
      </w:tr>
      <w:tr w:rsidR="00EE4104" w14:paraId="7846F8B0" w14:textId="77777777" w:rsidTr="00EA43AE">
        <w:tc>
          <w:tcPr>
            <w:tcW w:w="4414" w:type="dxa"/>
            <w:shd w:val="clear" w:color="auto" w:fill="DEEAF6" w:themeFill="accent1" w:themeFillTint="33"/>
          </w:tcPr>
          <w:p w14:paraId="1BB3866A" w14:textId="3D08A5B0" w:rsidR="00EE4104" w:rsidRPr="00EE4104" w:rsidRDefault="00D057E4" w:rsidP="003604DC">
            <w:pPr>
              <w:widowControl/>
              <w:spacing w:before="100" w:beforeAutospacing="1" w:after="100" w:afterAutospacing="1" w:line="360" w:lineRule="auto"/>
              <w:jc w:val="center"/>
              <w:rPr>
                <w:rFonts w:ascii="Arial Narrow" w:hAnsi="Arial Narrow"/>
                <w:b/>
                <w:bCs/>
                <w:sz w:val="24"/>
                <w:szCs w:val="24"/>
              </w:rPr>
            </w:pPr>
            <w:r w:rsidRPr="00686E1E">
              <w:rPr>
                <w:rFonts w:ascii="Arial Narrow" w:hAnsi="Arial Narrow"/>
                <w:b/>
                <w:bCs/>
                <w:sz w:val="24"/>
                <w:szCs w:val="24"/>
              </w:rPr>
              <w:t>Alteraciones vasomotoras</w:t>
            </w:r>
            <w:r>
              <w:rPr>
                <w:rFonts w:ascii="Arial Narrow" w:hAnsi="Arial Narrow"/>
                <w:b/>
                <w:bCs/>
                <w:sz w:val="24"/>
                <w:szCs w:val="24"/>
              </w:rPr>
              <w:t xml:space="preserve">:  </w:t>
            </w:r>
            <w:r w:rsidR="00EE4104">
              <w:rPr>
                <w:rFonts w:ascii="Arial Narrow" w:hAnsi="Arial Narrow"/>
                <w:b/>
                <w:bCs/>
                <w:sz w:val="24"/>
                <w:szCs w:val="24"/>
              </w:rPr>
              <w:t>Sofocos y bochorno</w:t>
            </w:r>
          </w:p>
        </w:tc>
        <w:tc>
          <w:tcPr>
            <w:tcW w:w="4414" w:type="dxa"/>
            <w:shd w:val="clear" w:color="auto" w:fill="DEEAF6" w:themeFill="accent1" w:themeFillTint="33"/>
          </w:tcPr>
          <w:p w14:paraId="51384F4C" w14:textId="0F5B7E93" w:rsidR="00EE4104" w:rsidRDefault="00EE4104" w:rsidP="003604DC">
            <w:pPr>
              <w:widowControl/>
              <w:spacing w:before="100" w:beforeAutospacing="1" w:after="100" w:afterAutospacing="1" w:line="360" w:lineRule="auto"/>
              <w:jc w:val="both"/>
              <w:rPr>
                <w:rFonts w:ascii="Arial Narrow" w:hAnsi="Arial Narrow"/>
                <w:sz w:val="24"/>
                <w:szCs w:val="24"/>
              </w:rPr>
            </w:pPr>
            <w:r w:rsidRPr="00EE4104">
              <w:rPr>
                <w:rFonts w:ascii="Arial Narrow" w:hAnsi="Arial Narrow"/>
                <w:sz w:val="24"/>
                <w:szCs w:val="24"/>
              </w:rPr>
              <w:t>Sensación repentina de calor acompañada de sudoración y palpitaciones</w:t>
            </w:r>
            <w:r w:rsidR="00D057E4">
              <w:rPr>
                <w:rFonts w:ascii="Arial Narrow" w:hAnsi="Arial Narrow"/>
                <w:sz w:val="24"/>
                <w:szCs w:val="24"/>
              </w:rPr>
              <w:t xml:space="preserve">, </w:t>
            </w:r>
            <w:r w:rsidR="00D057E4" w:rsidRPr="00686E1E">
              <w:rPr>
                <w:rFonts w:ascii="Arial Narrow" w:hAnsi="Arial Narrow"/>
                <w:sz w:val="24"/>
                <w:szCs w:val="24"/>
              </w:rPr>
              <w:t>derivados de la disminución de estrógenos.</w:t>
            </w:r>
          </w:p>
        </w:tc>
      </w:tr>
      <w:tr w:rsidR="00EE4104" w14:paraId="41E8A722" w14:textId="77777777" w:rsidTr="00EA43AE">
        <w:tc>
          <w:tcPr>
            <w:tcW w:w="4414" w:type="dxa"/>
            <w:shd w:val="clear" w:color="auto" w:fill="DEEAF6" w:themeFill="accent1" w:themeFillTint="33"/>
          </w:tcPr>
          <w:p w14:paraId="3704E670" w14:textId="3EBB0325" w:rsidR="00EE4104" w:rsidRPr="00EE4104" w:rsidRDefault="00EE4104" w:rsidP="003604DC">
            <w:pPr>
              <w:widowControl/>
              <w:spacing w:before="100" w:beforeAutospacing="1" w:after="100" w:afterAutospacing="1" w:line="360" w:lineRule="auto"/>
              <w:jc w:val="center"/>
              <w:rPr>
                <w:rFonts w:ascii="Arial Narrow" w:hAnsi="Arial Narrow"/>
                <w:b/>
                <w:bCs/>
                <w:sz w:val="24"/>
                <w:szCs w:val="24"/>
              </w:rPr>
            </w:pPr>
            <w:r w:rsidRPr="00EE4104">
              <w:rPr>
                <w:rFonts w:ascii="Arial Narrow" w:hAnsi="Arial Narrow"/>
                <w:b/>
                <w:bCs/>
                <w:sz w:val="24"/>
                <w:szCs w:val="24"/>
              </w:rPr>
              <w:t>Sudores nocturnos</w:t>
            </w:r>
          </w:p>
        </w:tc>
        <w:tc>
          <w:tcPr>
            <w:tcW w:w="4414" w:type="dxa"/>
            <w:shd w:val="clear" w:color="auto" w:fill="DEEAF6" w:themeFill="accent1" w:themeFillTint="33"/>
          </w:tcPr>
          <w:p w14:paraId="520917F3" w14:textId="50C85BFD" w:rsidR="00EE4104" w:rsidRDefault="00EE4104" w:rsidP="003604DC">
            <w:pPr>
              <w:widowControl/>
              <w:spacing w:before="100" w:beforeAutospacing="1" w:after="100" w:afterAutospacing="1" w:line="360" w:lineRule="auto"/>
              <w:jc w:val="both"/>
              <w:rPr>
                <w:rFonts w:ascii="Arial Narrow" w:hAnsi="Arial Narrow"/>
                <w:sz w:val="24"/>
                <w:szCs w:val="24"/>
              </w:rPr>
            </w:pPr>
            <w:r w:rsidRPr="00EE4104">
              <w:rPr>
                <w:rFonts w:ascii="Arial Narrow" w:hAnsi="Arial Narrow"/>
                <w:sz w:val="24"/>
                <w:szCs w:val="24"/>
              </w:rPr>
              <w:t>Episodios de calor durante el sueño que alteran el descanso.</w:t>
            </w:r>
          </w:p>
        </w:tc>
      </w:tr>
      <w:tr w:rsidR="00EE4104" w14:paraId="4AA74CE2" w14:textId="77777777" w:rsidTr="00EA43AE">
        <w:tc>
          <w:tcPr>
            <w:tcW w:w="4414" w:type="dxa"/>
            <w:shd w:val="clear" w:color="auto" w:fill="DEEAF6" w:themeFill="accent1" w:themeFillTint="33"/>
          </w:tcPr>
          <w:p w14:paraId="1560A5BC" w14:textId="3DCA6F55" w:rsidR="00EE4104" w:rsidRPr="00EE4104" w:rsidRDefault="00EE4104" w:rsidP="003604DC">
            <w:pPr>
              <w:widowControl/>
              <w:spacing w:before="100" w:beforeAutospacing="1" w:after="100" w:afterAutospacing="1" w:line="360" w:lineRule="auto"/>
              <w:jc w:val="center"/>
              <w:rPr>
                <w:rFonts w:ascii="Arial Narrow" w:hAnsi="Arial Narrow"/>
                <w:b/>
                <w:bCs/>
                <w:sz w:val="24"/>
                <w:szCs w:val="24"/>
              </w:rPr>
            </w:pPr>
            <w:r w:rsidRPr="00EE4104">
              <w:rPr>
                <w:rFonts w:ascii="Arial Narrow" w:hAnsi="Arial Narrow"/>
                <w:b/>
                <w:bCs/>
                <w:sz w:val="24"/>
                <w:szCs w:val="24"/>
              </w:rPr>
              <w:t>Irregularidades menstruales</w:t>
            </w:r>
          </w:p>
        </w:tc>
        <w:tc>
          <w:tcPr>
            <w:tcW w:w="4414" w:type="dxa"/>
            <w:shd w:val="clear" w:color="auto" w:fill="DEEAF6" w:themeFill="accent1" w:themeFillTint="33"/>
          </w:tcPr>
          <w:p w14:paraId="37C2E3BB" w14:textId="206EF2FA" w:rsidR="00EE4104" w:rsidRDefault="00EE4104" w:rsidP="003604DC">
            <w:pPr>
              <w:widowControl/>
              <w:spacing w:before="100" w:beforeAutospacing="1" w:after="100" w:afterAutospacing="1" w:line="360" w:lineRule="auto"/>
              <w:jc w:val="both"/>
              <w:rPr>
                <w:rFonts w:ascii="Arial Narrow" w:hAnsi="Arial Narrow"/>
                <w:sz w:val="24"/>
                <w:szCs w:val="24"/>
              </w:rPr>
            </w:pPr>
            <w:r w:rsidRPr="00EE4104">
              <w:rPr>
                <w:rFonts w:ascii="Arial Narrow" w:hAnsi="Arial Narrow"/>
                <w:sz w:val="24"/>
                <w:szCs w:val="24"/>
              </w:rPr>
              <w:t>Cambios en duración, frecuencia y cantidad del sangrado menstrual.</w:t>
            </w:r>
          </w:p>
        </w:tc>
      </w:tr>
      <w:tr w:rsidR="00EE4104" w14:paraId="211542B4" w14:textId="77777777" w:rsidTr="00EA43AE">
        <w:tc>
          <w:tcPr>
            <w:tcW w:w="4414" w:type="dxa"/>
            <w:shd w:val="clear" w:color="auto" w:fill="DEEAF6" w:themeFill="accent1" w:themeFillTint="33"/>
          </w:tcPr>
          <w:p w14:paraId="0F3D4CAD" w14:textId="7B45C391" w:rsidR="00EE4104" w:rsidRPr="00EE4104" w:rsidRDefault="00C37C60" w:rsidP="003604DC">
            <w:pPr>
              <w:widowControl/>
              <w:spacing w:before="100" w:beforeAutospacing="1" w:after="100" w:afterAutospacing="1" w:line="360" w:lineRule="auto"/>
              <w:jc w:val="center"/>
              <w:rPr>
                <w:rFonts w:ascii="Arial Narrow" w:hAnsi="Arial Narrow"/>
                <w:b/>
                <w:bCs/>
                <w:sz w:val="24"/>
                <w:szCs w:val="24"/>
              </w:rPr>
            </w:pPr>
            <w:r w:rsidRPr="00686E1E">
              <w:rPr>
                <w:rFonts w:ascii="Arial Narrow" w:hAnsi="Arial Narrow"/>
                <w:b/>
                <w:bCs/>
                <w:sz w:val="24"/>
                <w:szCs w:val="24"/>
              </w:rPr>
              <w:t>Alteraciones genitourinaria</w:t>
            </w:r>
            <w:r>
              <w:rPr>
                <w:rFonts w:ascii="Arial Narrow" w:hAnsi="Arial Narrow"/>
                <w:b/>
                <w:bCs/>
                <w:sz w:val="24"/>
                <w:szCs w:val="24"/>
              </w:rPr>
              <w:t>:</w:t>
            </w:r>
            <w:r w:rsidRPr="00EE4104">
              <w:rPr>
                <w:rFonts w:ascii="Arial Narrow" w:hAnsi="Arial Narrow"/>
                <w:b/>
                <w:bCs/>
                <w:sz w:val="24"/>
                <w:szCs w:val="24"/>
              </w:rPr>
              <w:t xml:space="preserve"> </w:t>
            </w:r>
            <w:r w:rsidR="00EE4104" w:rsidRPr="00EE4104">
              <w:rPr>
                <w:rFonts w:ascii="Arial Narrow" w:hAnsi="Arial Narrow"/>
                <w:b/>
                <w:bCs/>
                <w:sz w:val="24"/>
                <w:szCs w:val="24"/>
              </w:rPr>
              <w:t>Cambios vaginales</w:t>
            </w:r>
          </w:p>
        </w:tc>
        <w:tc>
          <w:tcPr>
            <w:tcW w:w="4414" w:type="dxa"/>
            <w:shd w:val="clear" w:color="auto" w:fill="DEEAF6" w:themeFill="accent1" w:themeFillTint="33"/>
          </w:tcPr>
          <w:p w14:paraId="3DB342C5" w14:textId="2582127E" w:rsidR="00EE4104" w:rsidRDefault="00EE4104" w:rsidP="003604DC">
            <w:pPr>
              <w:widowControl/>
              <w:spacing w:before="100" w:beforeAutospacing="1" w:after="100" w:afterAutospacing="1" w:line="360" w:lineRule="auto"/>
              <w:jc w:val="both"/>
              <w:rPr>
                <w:rFonts w:ascii="Arial Narrow" w:hAnsi="Arial Narrow"/>
                <w:sz w:val="24"/>
                <w:szCs w:val="24"/>
              </w:rPr>
            </w:pPr>
            <w:r w:rsidRPr="00EE4104">
              <w:rPr>
                <w:rFonts w:ascii="Arial Narrow" w:hAnsi="Arial Narrow"/>
                <w:sz w:val="24"/>
                <w:szCs w:val="24"/>
              </w:rPr>
              <w:t>Sequedad, adelgazamiento de tejidos y molestias sexuales</w:t>
            </w:r>
            <w:r w:rsidR="00C37C60">
              <w:rPr>
                <w:rFonts w:ascii="Arial Narrow" w:hAnsi="Arial Narrow"/>
                <w:sz w:val="24"/>
                <w:szCs w:val="24"/>
              </w:rPr>
              <w:t>.</w:t>
            </w:r>
            <w:r w:rsidR="00C37C60" w:rsidRPr="00686E1E">
              <w:rPr>
                <w:rFonts w:ascii="Arial Narrow" w:hAnsi="Arial Narrow"/>
                <w:sz w:val="24"/>
                <w:szCs w:val="24"/>
              </w:rPr>
              <w:t xml:space="preserve"> infecciones urinarias e incontinencia</w:t>
            </w:r>
          </w:p>
        </w:tc>
      </w:tr>
      <w:tr w:rsidR="00EE4104" w14:paraId="52D64D31" w14:textId="77777777" w:rsidTr="00EA43AE">
        <w:tc>
          <w:tcPr>
            <w:tcW w:w="4414" w:type="dxa"/>
            <w:shd w:val="clear" w:color="auto" w:fill="DEEAF6" w:themeFill="accent1" w:themeFillTint="33"/>
          </w:tcPr>
          <w:p w14:paraId="47ACC3A4" w14:textId="7564AC6B" w:rsidR="00EE4104" w:rsidRPr="00EE4104" w:rsidRDefault="00EE4104" w:rsidP="003604DC">
            <w:pPr>
              <w:widowControl/>
              <w:spacing w:before="100" w:beforeAutospacing="1" w:after="100" w:afterAutospacing="1" w:line="360" w:lineRule="auto"/>
              <w:jc w:val="center"/>
              <w:rPr>
                <w:rFonts w:ascii="Arial Narrow" w:hAnsi="Arial Narrow"/>
                <w:b/>
                <w:bCs/>
                <w:sz w:val="24"/>
                <w:szCs w:val="24"/>
              </w:rPr>
            </w:pPr>
            <w:r w:rsidRPr="00EE4104">
              <w:rPr>
                <w:rFonts w:ascii="Arial Narrow" w:hAnsi="Arial Narrow"/>
                <w:b/>
                <w:bCs/>
                <w:sz w:val="24"/>
                <w:szCs w:val="24"/>
              </w:rPr>
              <w:t>Cambios urinarios</w:t>
            </w:r>
          </w:p>
        </w:tc>
        <w:tc>
          <w:tcPr>
            <w:tcW w:w="4414" w:type="dxa"/>
            <w:shd w:val="clear" w:color="auto" w:fill="DEEAF6" w:themeFill="accent1" w:themeFillTint="33"/>
          </w:tcPr>
          <w:p w14:paraId="49DA32A9" w14:textId="3870A049" w:rsidR="00EE4104" w:rsidRDefault="00EA43AE" w:rsidP="003604DC">
            <w:pPr>
              <w:widowControl/>
              <w:spacing w:before="100" w:beforeAutospacing="1" w:after="100" w:afterAutospacing="1" w:line="360" w:lineRule="auto"/>
              <w:jc w:val="both"/>
              <w:rPr>
                <w:rFonts w:ascii="Arial Narrow" w:hAnsi="Arial Narrow"/>
                <w:sz w:val="24"/>
                <w:szCs w:val="24"/>
              </w:rPr>
            </w:pPr>
            <w:r w:rsidRPr="00EA43AE">
              <w:rPr>
                <w:rFonts w:ascii="Arial Narrow" w:hAnsi="Arial Narrow"/>
                <w:sz w:val="24"/>
                <w:szCs w:val="24"/>
              </w:rPr>
              <w:t>Mayor frecuencia urinaria o incontinencia leve.</w:t>
            </w:r>
          </w:p>
        </w:tc>
      </w:tr>
      <w:tr w:rsidR="00EE4104" w14:paraId="6505D49A" w14:textId="77777777" w:rsidTr="00EA43AE">
        <w:tc>
          <w:tcPr>
            <w:tcW w:w="4414" w:type="dxa"/>
            <w:shd w:val="clear" w:color="auto" w:fill="DEEAF6" w:themeFill="accent1" w:themeFillTint="33"/>
          </w:tcPr>
          <w:p w14:paraId="025C3BCD" w14:textId="7552FC49" w:rsidR="00EE4104" w:rsidRPr="00EE4104" w:rsidRDefault="00EE4104" w:rsidP="003604DC">
            <w:pPr>
              <w:widowControl/>
              <w:spacing w:before="100" w:beforeAutospacing="1" w:after="100" w:afterAutospacing="1" w:line="360" w:lineRule="auto"/>
              <w:jc w:val="center"/>
              <w:rPr>
                <w:rFonts w:ascii="Arial Narrow" w:hAnsi="Arial Narrow"/>
                <w:b/>
                <w:bCs/>
                <w:sz w:val="24"/>
                <w:szCs w:val="24"/>
              </w:rPr>
            </w:pPr>
            <w:r w:rsidRPr="00EE4104">
              <w:rPr>
                <w:rFonts w:ascii="Arial Narrow" w:hAnsi="Arial Narrow"/>
                <w:b/>
                <w:bCs/>
                <w:sz w:val="24"/>
                <w:szCs w:val="24"/>
              </w:rPr>
              <w:t>Alteraciones del sueño</w:t>
            </w:r>
          </w:p>
        </w:tc>
        <w:tc>
          <w:tcPr>
            <w:tcW w:w="4414" w:type="dxa"/>
            <w:shd w:val="clear" w:color="auto" w:fill="DEEAF6" w:themeFill="accent1" w:themeFillTint="33"/>
          </w:tcPr>
          <w:p w14:paraId="276EE9A3" w14:textId="39AC93DC" w:rsidR="00EE4104" w:rsidRDefault="00EA43AE" w:rsidP="003604DC">
            <w:pPr>
              <w:widowControl/>
              <w:tabs>
                <w:tab w:val="left" w:pos="1564"/>
              </w:tabs>
              <w:spacing w:before="100" w:beforeAutospacing="1" w:after="100" w:afterAutospacing="1" w:line="360" w:lineRule="auto"/>
              <w:jc w:val="both"/>
              <w:rPr>
                <w:rFonts w:ascii="Arial Narrow" w:hAnsi="Arial Narrow"/>
                <w:sz w:val="24"/>
                <w:szCs w:val="24"/>
              </w:rPr>
            </w:pPr>
            <w:r w:rsidRPr="00EA43AE">
              <w:rPr>
                <w:rFonts w:ascii="Arial Narrow" w:hAnsi="Arial Narrow"/>
                <w:sz w:val="24"/>
                <w:szCs w:val="24"/>
              </w:rPr>
              <w:t>Dificultad para dormir o mantener el sueño.</w:t>
            </w:r>
          </w:p>
        </w:tc>
      </w:tr>
      <w:tr w:rsidR="005132D2" w14:paraId="5D62B4D7" w14:textId="77777777" w:rsidTr="00EA43AE">
        <w:tc>
          <w:tcPr>
            <w:tcW w:w="4414" w:type="dxa"/>
            <w:shd w:val="clear" w:color="auto" w:fill="DEEAF6" w:themeFill="accent1" w:themeFillTint="33"/>
          </w:tcPr>
          <w:p w14:paraId="2BBA063E" w14:textId="2B42CCF2" w:rsidR="005132D2" w:rsidRPr="00EE4104" w:rsidRDefault="005132D2" w:rsidP="005132D2">
            <w:pPr>
              <w:widowControl/>
              <w:spacing w:before="100" w:beforeAutospacing="1" w:after="100" w:afterAutospacing="1" w:line="360" w:lineRule="auto"/>
              <w:jc w:val="center"/>
              <w:rPr>
                <w:rFonts w:ascii="Arial Narrow" w:hAnsi="Arial Narrow"/>
                <w:b/>
                <w:bCs/>
                <w:sz w:val="24"/>
                <w:szCs w:val="24"/>
              </w:rPr>
            </w:pPr>
            <w:r w:rsidRPr="00686E1E">
              <w:rPr>
                <w:rFonts w:ascii="Arial Narrow" w:hAnsi="Arial Narrow"/>
                <w:b/>
                <w:bCs/>
                <w:sz w:val="24"/>
                <w:szCs w:val="24"/>
              </w:rPr>
              <w:t>Riesgo cardiovascular</w:t>
            </w:r>
          </w:p>
        </w:tc>
        <w:tc>
          <w:tcPr>
            <w:tcW w:w="4414" w:type="dxa"/>
            <w:shd w:val="clear" w:color="auto" w:fill="DEEAF6" w:themeFill="accent1" w:themeFillTint="33"/>
          </w:tcPr>
          <w:p w14:paraId="1A8E3A63" w14:textId="3CBD1D81" w:rsidR="005132D2" w:rsidRDefault="005132D2" w:rsidP="005132D2">
            <w:pPr>
              <w:widowControl/>
              <w:tabs>
                <w:tab w:val="left" w:pos="1227"/>
              </w:tabs>
              <w:spacing w:before="100" w:beforeAutospacing="1" w:after="100" w:afterAutospacing="1" w:line="360" w:lineRule="auto"/>
              <w:jc w:val="both"/>
              <w:rPr>
                <w:rFonts w:ascii="Arial Narrow" w:hAnsi="Arial Narrow"/>
                <w:sz w:val="24"/>
                <w:szCs w:val="24"/>
              </w:rPr>
            </w:pPr>
            <w:r w:rsidRPr="00686E1E">
              <w:rPr>
                <w:rFonts w:ascii="Arial Narrow" w:hAnsi="Arial Narrow"/>
                <w:sz w:val="24"/>
                <w:szCs w:val="24"/>
              </w:rPr>
              <w:t>Incremento de factores de riesgo como hipertensión, colesterol elevado y grasa abdominal.</w:t>
            </w:r>
          </w:p>
        </w:tc>
      </w:tr>
      <w:tr w:rsidR="005132D2" w14:paraId="2797A1BD" w14:textId="77777777" w:rsidTr="00F00514">
        <w:tc>
          <w:tcPr>
            <w:tcW w:w="4414" w:type="dxa"/>
            <w:shd w:val="clear" w:color="auto" w:fill="DEEAF6" w:themeFill="accent1" w:themeFillTint="33"/>
          </w:tcPr>
          <w:p w14:paraId="5DD51B60" w14:textId="647E6FCB" w:rsidR="005132D2" w:rsidRPr="00686E1E" w:rsidRDefault="005132D2" w:rsidP="005132D2">
            <w:pPr>
              <w:widowControl/>
              <w:spacing w:before="100" w:beforeAutospacing="1" w:after="100" w:afterAutospacing="1" w:line="360" w:lineRule="auto"/>
              <w:jc w:val="center"/>
              <w:rPr>
                <w:rFonts w:ascii="Arial Narrow" w:hAnsi="Arial Narrow"/>
                <w:b/>
                <w:bCs/>
                <w:sz w:val="24"/>
                <w:szCs w:val="24"/>
              </w:rPr>
            </w:pPr>
            <w:r w:rsidRPr="00686E1E">
              <w:rPr>
                <w:rFonts w:ascii="Arial Narrow" w:hAnsi="Arial Narrow"/>
                <w:b/>
                <w:bCs/>
                <w:sz w:val="24"/>
                <w:szCs w:val="24"/>
              </w:rPr>
              <w:t>Pérdida ósea</w:t>
            </w:r>
          </w:p>
        </w:tc>
        <w:tc>
          <w:tcPr>
            <w:tcW w:w="4414" w:type="dxa"/>
            <w:shd w:val="clear" w:color="auto" w:fill="DEEAF6" w:themeFill="accent1" w:themeFillTint="33"/>
          </w:tcPr>
          <w:p w14:paraId="53881B99" w14:textId="6193B727" w:rsidR="005132D2" w:rsidRDefault="005132D2" w:rsidP="005132D2">
            <w:pPr>
              <w:widowControl/>
              <w:spacing w:before="100" w:beforeAutospacing="1" w:after="100" w:afterAutospacing="1" w:line="360" w:lineRule="auto"/>
              <w:jc w:val="both"/>
              <w:rPr>
                <w:rFonts w:ascii="Arial Narrow" w:hAnsi="Arial Narrow"/>
                <w:sz w:val="24"/>
                <w:szCs w:val="24"/>
              </w:rPr>
            </w:pPr>
            <w:r w:rsidRPr="00686E1E">
              <w:rPr>
                <w:rFonts w:ascii="Arial Narrow" w:hAnsi="Arial Narrow"/>
                <w:sz w:val="24"/>
                <w:szCs w:val="24"/>
              </w:rPr>
              <w:t>Disminución acelerada de densidad ósea y mayor riesgo de osteoporosis y fracturas.</w:t>
            </w:r>
          </w:p>
        </w:tc>
      </w:tr>
    </w:tbl>
    <w:p w14:paraId="40E191E9" w14:textId="0AF09053" w:rsidR="00A44EDB" w:rsidRDefault="005132D2" w:rsidP="00601196">
      <w:pPr>
        <w:widowControl/>
        <w:spacing w:before="100" w:beforeAutospacing="1" w:after="100" w:afterAutospacing="1" w:line="360" w:lineRule="auto"/>
        <w:ind w:firstLine="708"/>
        <w:jc w:val="both"/>
        <w:rPr>
          <w:rFonts w:ascii="Arial Narrow" w:hAnsi="Arial Narrow"/>
          <w:sz w:val="24"/>
          <w:szCs w:val="24"/>
        </w:rPr>
      </w:pPr>
      <w:r>
        <w:rPr>
          <w:rFonts w:ascii="Arial Narrow" w:hAnsi="Arial Narrow"/>
          <w:sz w:val="24"/>
          <w:szCs w:val="24"/>
        </w:rPr>
        <w:t xml:space="preserve"> </w:t>
      </w:r>
      <w:r w:rsidR="007064C5">
        <w:rPr>
          <w:rFonts w:ascii="Arial Narrow" w:hAnsi="Arial Narrow"/>
          <w:sz w:val="24"/>
          <w:szCs w:val="24"/>
        </w:rPr>
        <w:t xml:space="preserve">Persisten estigmas y barreras culturales que provocan la normalización de síntomas </w:t>
      </w:r>
      <w:r w:rsidR="00CE2137">
        <w:rPr>
          <w:rFonts w:ascii="Arial Narrow" w:hAnsi="Arial Narrow"/>
          <w:sz w:val="24"/>
          <w:szCs w:val="24"/>
        </w:rPr>
        <w:t>físicos y emocionales asociados al climaterio, la menopausia y la andropausia, dificultando el acceso oportuno a información y atención</w:t>
      </w:r>
      <w:r w:rsidR="0057226C">
        <w:rPr>
          <w:rFonts w:ascii="Arial Narrow" w:hAnsi="Arial Narrow"/>
          <w:sz w:val="24"/>
          <w:szCs w:val="24"/>
        </w:rPr>
        <w:t xml:space="preserve"> médica especializada.</w:t>
      </w:r>
    </w:p>
    <w:p w14:paraId="4977A1B1" w14:textId="77777777" w:rsidR="00907427" w:rsidRPr="00101648" w:rsidRDefault="00907427" w:rsidP="00907427">
      <w:pPr>
        <w:widowControl/>
        <w:spacing w:before="100" w:beforeAutospacing="1" w:after="100" w:afterAutospacing="1" w:line="360" w:lineRule="auto"/>
        <w:ind w:firstLine="708"/>
        <w:jc w:val="both"/>
        <w:rPr>
          <w:rFonts w:ascii="Arial Narrow" w:hAnsi="Arial Narrow"/>
          <w:color w:val="000000" w:themeColor="text1"/>
          <w:sz w:val="24"/>
          <w:szCs w:val="24"/>
        </w:rPr>
      </w:pPr>
      <w:r w:rsidRPr="00101648">
        <w:rPr>
          <w:rFonts w:ascii="Arial Narrow" w:hAnsi="Arial Narrow"/>
          <w:color w:val="000000" w:themeColor="text1"/>
          <w:sz w:val="24"/>
          <w:szCs w:val="24"/>
        </w:rPr>
        <w:lastRenderedPageBreak/>
        <w:t xml:space="preserve">De acuerdo con el Censo de Población y Vivienda 2020 del Instituto Nacional de Estadística y Geografía (INEGI), Yucatán atraviesa un proceso progresivo de envejecimiento poblacional derivado del incremento en la esperanza de vida y la disminución de las tasas de fecundidad. En la entidad, las personas adultas de entre 30 y 59 años representan aproximadamente el 40% de la población total, mientras que las personas de 60 años y más ascienden a más de 289 mil habitantes, equivalentes al 12.5% de la población estatal. Asimismo, el índice de envejecimiento en Yucatán ha mostrado un crecimiento sostenido durante la última década, evidenciando un incremento importante en la población adulta mayor y en la demanda de servicios especializados de salud. </w:t>
      </w:r>
    </w:p>
    <w:p w14:paraId="0D82DC8B" w14:textId="77777777" w:rsidR="00907427" w:rsidRPr="00101648" w:rsidRDefault="00907427" w:rsidP="00907427">
      <w:pPr>
        <w:widowControl/>
        <w:spacing w:before="100" w:beforeAutospacing="1" w:after="100" w:afterAutospacing="1" w:line="360" w:lineRule="auto"/>
        <w:ind w:firstLine="708"/>
        <w:jc w:val="both"/>
        <w:rPr>
          <w:rFonts w:ascii="Arial Narrow" w:hAnsi="Arial Narrow"/>
          <w:color w:val="000000" w:themeColor="text1"/>
          <w:sz w:val="24"/>
          <w:szCs w:val="24"/>
        </w:rPr>
      </w:pPr>
      <w:r w:rsidRPr="00101648">
        <w:rPr>
          <w:rFonts w:ascii="Arial Narrow" w:hAnsi="Arial Narrow"/>
          <w:color w:val="000000" w:themeColor="text1"/>
          <w:sz w:val="24"/>
          <w:szCs w:val="24"/>
        </w:rPr>
        <w:t xml:space="preserve">En este contexto, las mujeres de entre 40 y 60 años constituyen un grupo poblacional significativo en Yucatán, etapa de vida en la que comúnmente se presentan el climaterio y la menopausia. Las proyecciones demográficas y tendencias poblacionales publicadas por el INEGI muestran que el envejecimiento de la población continuará incrementándose en los próximos años, lo cual implica importantes retos para las instituciones de salud pública en materia de prevención, atención integral, salud mental y acompañamiento médico especializado. </w:t>
      </w:r>
    </w:p>
    <w:p w14:paraId="705380C8" w14:textId="2EAA6665" w:rsidR="00907427" w:rsidRPr="00101648" w:rsidRDefault="00907427" w:rsidP="00907427">
      <w:pPr>
        <w:widowControl/>
        <w:spacing w:before="100" w:beforeAutospacing="1" w:after="100" w:afterAutospacing="1" w:line="360" w:lineRule="auto"/>
        <w:ind w:firstLine="708"/>
        <w:jc w:val="both"/>
        <w:rPr>
          <w:rFonts w:ascii="Arial Narrow" w:hAnsi="Arial Narrow"/>
          <w:color w:val="000000" w:themeColor="text1"/>
          <w:sz w:val="24"/>
          <w:szCs w:val="24"/>
        </w:rPr>
      </w:pPr>
      <w:r w:rsidRPr="00101648">
        <w:rPr>
          <w:rFonts w:ascii="Arial Narrow" w:hAnsi="Arial Narrow"/>
          <w:color w:val="000000" w:themeColor="text1"/>
          <w:sz w:val="24"/>
          <w:szCs w:val="24"/>
        </w:rPr>
        <w:t xml:space="preserve">De igual manera, la Encuesta Nacional de Salud y Nutrición (ENSANUT) 2022 evidenció una alta prevalencia de enfermedades crónicas no transmisibles en mujeres mayores de 45 años, particularmente diabetes mellitus, hipertensión arterial y enfermedades cardiovasculares, padecimientos cuyo riesgo puede incrementarse debido a los cambios hormonales asociados a la menopausia. </w:t>
      </w:r>
    </w:p>
    <w:p w14:paraId="4CF4A65A" w14:textId="505EFF60" w:rsidR="00D64F6E" w:rsidRPr="00A44EDB" w:rsidRDefault="00A44EDB" w:rsidP="003604DC">
      <w:pPr>
        <w:widowControl/>
        <w:spacing w:before="100" w:beforeAutospacing="1" w:after="100" w:afterAutospacing="1" w:line="360" w:lineRule="auto"/>
        <w:ind w:firstLine="708"/>
        <w:jc w:val="both"/>
        <w:rPr>
          <w:rFonts w:ascii="Arial Narrow" w:hAnsi="Arial Narrow"/>
          <w:sz w:val="24"/>
          <w:szCs w:val="24"/>
        </w:rPr>
      </w:pPr>
      <w:r w:rsidRPr="00A44EDB">
        <w:rPr>
          <w:rFonts w:ascii="Arial Narrow" w:hAnsi="Arial Narrow"/>
          <w:sz w:val="24"/>
          <w:szCs w:val="24"/>
        </w:rPr>
        <w:t>En el caso de los hombres, también existen procesos fisiológicos relacionados con la disminución hormonal progresiva que pueden generar afectaciones físicas, emocionales y sociales, los cuales igualmente suelen encontrarse rodeados de desinformación, estigmas y barreras culturales para su adecuada atención</w:t>
      </w:r>
      <w:r w:rsidR="006B2B52">
        <w:rPr>
          <w:rFonts w:ascii="Arial Narrow" w:hAnsi="Arial Narrow"/>
          <w:sz w:val="24"/>
          <w:szCs w:val="24"/>
        </w:rPr>
        <w:t>.</w:t>
      </w:r>
    </w:p>
    <w:tbl>
      <w:tblPr>
        <w:tblStyle w:val="Tablaconcuadrcula"/>
        <w:tblpPr w:leftFromText="141" w:rightFromText="141" w:vertAnchor="text" w:horzAnchor="margin" w:tblpXSpec="center" w:tblpY="2230"/>
        <w:tblW w:w="0" w:type="auto"/>
        <w:tblLook w:val="04A0" w:firstRow="1" w:lastRow="0" w:firstColumn="1" w:lastColumn="0" w:noHBand="0" w:noVBand="1"/>
      </w:tblPr>
      <w:tblGrid>
        <w:gridCol w:w="6799"/>
      </w:tblGrid>
      <w:tr w:rsidR="0006023E" w14:paraId="3A84F789" w14:textId="77777777" w:rsidTr="0006023E">
        <w:tc>
          <w:tcPr>
            <w:tcW w:w="6799" w:type="dxa"/>
            <w:shd w:val="clear" w:color="auto" w:fill="4472C4" w:themeFill="accent5"/>
          </w:tcPr>
          <w:p w14:paraId="66B7F6D3" w14:textId="77777777" w:rsidR="0006023E" w:rsidRPr="00A44EDB" w:rsidRDefault="0006023E" w:rsidP="003604DC">
            <w:pPr>
              <w:widowControl/>
              <w:spacing w:before="100" w:beforeAutospacing="1" w:after="100" w:afterAutospacing="1" w:line="360" w:lineRule="auto"/>
              <w:jc w:val="center"/>
              <w:rPr>
                <w:rFonts w:ascii="Arial Narrow" w:hAnsi="Arial Narrow"/>
                <w:b/>
                <w:bCs/>
                <w:sz w:val="24"/>
                <w:szCs w:val="24"/>
              </w:rPr>
            </w:pPr>
            <w:r>
              <w:rPr>
                <w:rFonts w:ascii="Arial Narrow" w:hAnsi="Arial Narrow"/>
                <w:b/>
                <w:bCs/>
                <w:sz w:val="24"/>
                <w:szCs w:val="24"/>
              </w:rPr>
              <w:lastRenderedPageBreak/>
              <w:t>SÍNTOMAS ASOCIADOS A LA ANDROPAUSIA</w:t>
            </w:r>
          </w:p>
        </w:tc>
      </w:tr>
      <w:tr w:rsidR="0006023E" w14:paraId="4FCA6596" w14:textId="77777777" w:rsidTr="0006023E">
        <w:tc>
          <w:tcPr>
            <w:tcW w:w="6799" w:type="dxa"/>
            <w:shd w:val="clear" w:color="auto" w:fill="DEEAF6" w:themeFill="accent1" w:themeFillTint="33"/>
          </w:tcPr>
          <w:p w14:paraId="1A19186A"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Disminución del deseo sexual</w:t>
            </w:r>
          </w:p>
        </w:tc>
      </w:tr>
      <w:tr w:rsidR="0006023E" w14:paraId="22E71F4B" w14:textId="77777777" w:rsidTr="0006023E">
        <w:tc>
          <w:tcPr>
            <w:tcW w:w="6799" w:type="dxa"/>
            <w:shd w:val="clear" w:color="auto" w:fill="DEEAF6" w:themeFill="accent1" w:themeFillTint="33"/>
          </w:tcPr>
          <w:p w14:paraId="22A8057C"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Disfunción eréctil</w:t>
            </w:r>
          </w:p>
        </w:tc>
      </w:tr>
      <w:tr w:rsidR="0006023E" w14:paraId="2F475EAB" w14:textId="77777777" w:rsidTr="0006023E">
        <w:tc>
          <w:tcPr>
            <w:tcW w:w="6799" w:type="dxa"/>
            <w:shd w:val="clear" w:color="auto" w:fill="DEEAF6" w:themeFill="accent1" w:themeFillTint="33"/>
          </w:tcPr>
          <w:p w14:paraId="17A85165"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Fatiga o baja energía</w:t>
            </w:r>
          </w:p>
        </w:tc>
      </w:tr>
      <w:tr w:rsidR="0006023E" w14:paraId="1C65D683" w14:textId="77777777" w:rsidTr="0006023E">
        <w:tc>
          <w:tcPr>
            <w:tcW w:w="6799" w:type="dxa"/>
            <w:shd w:val="clear" w:color="auto" w:fill="DEEAF6" w:themeFill="accent1" w:themeFillTint="33"/>
          </w:tcPr>
          <w:p w14:paraId="60078AD4"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Pérdida de masa muscular</w:t>
            </w:r>
          </w:p>
        </w:tc>
      </w:tr>
      <w:tr w:rsidR="0006023E" w14:paraId="68FD3239" w14:textId="77777777" w:rsidTr="0006023E">
        <w:tc>
          <w:tcPr>
            <w:tcW w:w="6799" w:type="dxa"/>
            <w:shd w:val="clear" w:color="auto" w:fill="DEEAF6" w:themeFill="accent1" w:themeFillTint="33"/>
          </w:tcPr>
          <w:p w14:paraId="09E31DDC"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Aumento de grasa corporal</w:t>
            </w:r>
          </w:p>
        </w:tc>
      </w:tr>
      <w:tr w:rsidR="0006023E" w14:paraId="4C720021" w14:textId="77777777" w:rsidTr="0006023E">
        <w:tc>
          <w:tcPr>
            <w:tcW w:w="6799" w:type="dxa"/>
            <w:shd w:val="clear" w:color="auto" w:fill="DEEAF6" w:themeFill="accent1" w:themeFillTint="33"/>
          </w:tcPr>
          <w:p w14:paraId="547CA27A"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Cambios emocionales</w:t>
            </w:r>
          </w:p>
        </w:tc>
      </w:tr>
      <w:tr w:rsidR="0006023E" w14:paraId="46A8BA45" w14:textId="77777777" w:rsidTr="0006023E">
        <w:tc>
          <w:tcPr>
            <w:tcW w:w="6799" w:type="dxa"/>
            <w:shd w:val="clear" w:color="auto" w:fill="DEEAF6" w:themeFill="accent1" w:themeFillTint="33"/>
          </w:tcPr>
          <w:p w14:paraId="4C7BDBB6"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Problemas de memoria y concentración</w:t>
            </w:r>
          </w:p>
        </w:tc>
      </w:tr>
      <w:tr w:rsidR="0006023E" w14:paraId="36C441BA" w14:textId="77777777" w:rsidTr="0006023E">
        <w:tc>
          <w:tcPr>
            <w:tcW w:w="6799" w:type="dxa"/>
            <w:shd w:val="clear" w:color="auto" w:fill="DEEAF6" w:themeFill="accent1" w:themeFillTint="33"/>
          </w:tcPr>
          <w:p w14:paraId="51FECB26"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Alteraciones del sueño</w:t>
            </w:r>
          </w:p>
        </w:tc>
      </w:tr>
      <w:tr w:rsidR="0006023E" w14:paraId="686EC06F" w14:textId="77777777" w:rsidTr="0006023E">
        <w:tc>
          <w:tcPr>
            <w:tcW w:w="6799" w:type="dxa"/>
            <w:shd w:val="clear" w:color="auto" w:fill="DEEAF6" w:themeFill="accent1" w:themeFillTint="33"/>
          </w:tcPr>
          <w:p w14:paraId="221A5D01" w14:textId="77777777" w:rsidR="0006023E" w:rsidRPr="00C723B3" w:rsidRDefault="0006023E" w:rsidP="003604DC">
            <w:pPr>
              <w:widowControl/>
              <w:spacing w:before="100" w:beforeAutospacing="1" w:after="100" w:afterAutospacing="1" w:line="360" w:lineRule="auto"/>
              <w:rPr>
                <w:rFonts w:ascii="Arial Narrow" w:hAnsi="Arial Narrow"/>
                <w:b/>
                <w:bCs/>
                <w:sz w:val="24"/>
                <w:szCs w:val="24"/>
              </w:rPr>
            </w:pPr>
            <w:r w:rsidRPr="00C723B3">
              <w:rPr>
                <w:rFonts w:ascii="Arial Narrow" w:hAnsi="Arial Narrow"/>
                <w:b/>
                <w:bCs/>
                <w:sz w:val="24"/>
                <w:szCs w:val="24"/>
              </w:rPr>
              <w:t>Disminución de densidad ósea</w:t>
            </w:r>
          </w:p>
        </w:tc>
      </w:tr>
    </w:tbl>
    <w:p w14:paraId="25A3186F" w14:textId="77777777" w:rsidR="00611D36" w:rsidRDefault="00611D36" w:rsidP="00601196">
      <w:pPr>
        <w:widowControl/>
        <w:spacing w:before="100" w:beforeAutospacing="1" w:after="100" w:afterAutospacing="1" w:line="360" w:lineRule="auto"/>
        <w:jc w:val="both"/>
        <w:rPr>
          <w:rFonts w:ascii="Arial Narrow" w:hAnsi="Arial Narrow"/>
          <w:sz w:val="24"/>
          <w:szCs w:val="24"/>
        </w:rPr>
      </w:pPr>
    </w:p>
    <w:p w14:paraId="49DD719B" w14:textId="77777777" w:rsidR="00601196" w:rsidRDefault="00601196" w:rsidP="00601196">
      <w:pPr>
        <w:widowControl/>
        <w:spacing w:before="100" w:beforeAutospacing="1" w:after="100" w:afterAutospacing="1" w:line="360" w:lineRule="auto"/>
        <w:jc w:val="both"/>
        <w:rPr>
          <w:rFonts w:ascii="Arial Narrow" w:hAnsi="Arial Narrow"/>
          <w:sz w:val="24"/>
          <w:szCs w:val="24"/>
        </w:rPr>
      </w:pPr>
    </w:p>
    <w:p w14:paraId="09D80798" w14:textId="77777777" w:rsidR="00B73F54" w:rsidRDefault="00B73F54" w:rsidP="003604DC">
      <w:pPr>
        <w:widowControl/>
        <w:spacing w:before="100" w:beforeAutospacing="1" w:after="100" w:afterAutospacing="1" w:line="360" w:lineRule="auto"/>
        <w:ind w:firstLine="708"/>
        <w:jc w:val="both"/>
        <w:rPr>
          <w:rFonts w:ascii="Arial Narrow" w:hAnsi="Arial Narrow"/>
          <w:sz w:val="24"/>
          <w:szCs w:val="24"/>
        </w:rPr>
      </w:pPr>
    </w:p>
    <w:p w14:paraId="2EE62D32" w14:textId="77777777" w:rsidR="00B73F54" w:rsidRDefault="00B73F54" w:rsidP="003604DC">
      <w:pPr>
        <w:widowControl/>
        <w:spacing w:before="100" w:beforeAutospacing="1" w:after="100" w:afterAutospacing="1" w:line="360" w:lineRule="auto"/>
        <w:ind w:firstLine="708"/>
        <w:jc w:val="both"/>
        <w:rPr>
          <w:rFonts w:ascii="Arial Narrow" w:hAnsi="Arial Narrow"/>
          <w:sz w:val="24"/>
          <w:szCs w:val="24"/>
        </w:rPr>
      </w:pPr>
    </w:p>
    <w:p w14:paraId="49511D9B" w14:textId="77777777" w:rsidR="00B73F54" w:rsidRDefault="00B73F54" w:rsidP="003604DC">
      <w:pPr>
        <w:widowControl/>
        <w:spacing w:before="100" w:beforeAutospacing="1" w:after="100" w:afterAutospacing="1" w:line="360" w:lineRule="auto"/>
        <w:ind w:firstLine="708"/>
        <w:jc w:val="both"/>
        <w:rPr>
          <w:rFonts w:ascii="Arial Narrow" w:hAnsi="Arial Narrow"/>
          <w:sz w:val="24"/>
          <w:szCs w:val="24"/>
        </w:rPr>
      </w:pPr>
    </w:p>
    <w:p w14:paraId="0C363BC9" w14:textId="77777777" w:rsidR="008105A4" w:rsidRDefault="008105A4" w:rsidP="003604DC">
      <w:pPr>
        <w:widowControl/>
        <w:spacing w:before="100" w:beforeAutospacing="1" w:after="100" w:afterAutospacing="1" w:line="360" w:lineRule="auto"/>
        <w:ind w:firstLine="708"/>
        <w:jc w:val="both"/>
        <w:rPr>
          <w:rFonts w:ascii="Arial Narrow" w:hAnsi="Arial Narrow"/>
          <w:sz w:val="24"/>
          <w:szCs w:val="24"/>
        </w:rPr>
      </w:pPr>
    </w:p>
    <w:p w14:paraId="7C33BD54" w14:textId="77777777" w:rsidR="008105A4" w:rsidRDefault="008105A4" w:rsidP="003604DC">
      <w:pPr>
        <w:widowControl/>
        <w:spacing w:before="100" w:beforeAutospacing="1" w:after="100" w:afterAutospacing="1" w:line="360" w:lineRule="auto"/>
        <w:ind w:firstLine="708"/>
        <w:jc w:val="both"/>
        <w:rPr>
          <w:rFonts w:ascii="Arial Narrow" w:hAnsi="Arial Narrow"/>
          <w:sz w:val="24"/>
          <w:szCs w:val="24"/>
        </w:rPr>
      </w:pPr>
    </w:p>
    <w:p w14:paraId="78E0732C" w14:textId="77777777" w:rsidR="008105A4" w:rsidRDefault="008105A4" w:rsidP="003604DC">
      <w:pPr>
        <w:widowControl/>
        <w:spacing w:before="100" w:beforeAutospacing="1" w:after="100" w:afterAutospacing="1" w:line="360" w:lineRule="auto"/>
        <w:ind w:firstLine="708"/>
        <w:jc w:val="both"/>
        <w:rPr>
          <w:rFonts w:ascii="Arial Narrow" w:hAnsi="Arial Narrow"/>
          <w:sz w:val="24"/>
          <w:szCs w:val="24"/>
        </w:rPr>
      </w:pPr>
    </w:p>
    <w:p w14:paraId="43622C14" w14:textId="77777777" w:rsidR="008105A4" w:rsidRDefault="008105A4" w:rsidP="003604DC">
      <w:pPr>
        <w:widowControl/>
        <w:spacing w:before="100" w:beforeAutospacing="1" w:after="100" w:afterAutospacing="1" w:line="360" w:lineRule="auto"/>
        <w:ind w:firstLine="708"/>
        <w:jc w:val="both"/>
        <w:rPr>
          <w:rFonts w:ascii="Arial Narrow" w:hAnsi="Arial Narrow"/>
          <w:sz w:val="24"/>
          <w:szCs w:val="24"/>
        </w:rPr>
      </w:pPr>
    </w:p>
    <w:p w14:paraId="01AA5233" w14:textId="77777777" w:rsidR="008105A4" w:rsidRDefault="008105A4" w:rsidP="003604DC">
      <w:pPr>
        <w:widowControl/>
        <w:spacing w:before="100" w:beforeAutospacing="1" w:after="100" w:afterAutospacing="1" w:line="360" w:lineRule="auto"/>
        <w:ind w:firstLine="708"/>
        <w:jc w:val="both"/>
        <w:rPr>
          <w:rFonts w:ascii="Arial Narrow" w:hAnsi="Arial Narrow"/>
          <w:sz w:val="24"/>
          <w:szCs w:val="24"/>
        </w:rPr>
      </w:pPr>
    </w:p>
    <w:p w14:paraId="48B116B6" w14:textId="2841DC39" w:rsidR="001A7322" w:rsidRDefault="00A44EDB" w:rsidP="003604DC">
      <w:pPr>
        <w:widowControl/>
        <w:spacing w:before="100" w:beforeAutospacing="1" w:after="100" w:afterAutospacing="1" w:line="360" w:lineRule="auto"/>
        <w:ind w:firstLine="708"/>
        <w:jc w:val="both"/>
        <w:rPr>
          <w:rFonts w:ascii="Arial Narrow" w:hAnsi="Arial Narrow"/>
          <w:sz w:val="24"/>
          <w:szCs w:val="24"/>
        </w:rPr>
      </w:pPr>
      <w:r w:rsidRPr="00A44EDB">
        <w:rPr>
          <w:rFonts w:ascii="Arial Narrow" w:hAnsi="Arial Narrow"/>
          <w:sz w:val="24"/>
          <w:szCs w:val="24"/>
        </w:rPr>
        <w:t xml:space="preserve">En este contexto, la andropausia, también conocida como déficit androgénico asociado a la edad o </w:t>
      </w:r>
      <w:r w:rsidR="0006023E">
        <w:rPr>
          <w:rFonts w:ascii="Arial Narrow" w:hAnsi="Arial Narrow"/>
          <w:sz w:val="24"/>
          <w:szCs w:val="24"/>
        </w:rPr>
        <w:t>hipogonadismo de inicio tardío</w:t>
      </w:r>
      <w:r w:rsidR="001A7322">
        <w:rPr>
          <w:rFonts w:ascii="Arial Narrow" w:hAnsi="Arial Narrow"/>
          <w:sz w:val="24"/>
          <w:szCs w:val="24"/>
        </w:rPr>
        <w:t xml:space="preserve">, </w:t>
      </w:r>
      <w:r w:rsidR="001A7322" w:rsidRPr="001A7322">
        <w:rPr>
          <w:rFonts w:ascii="Arial Narrow" w:hAnsi="Arial Narrow"/>
          <w:sz w:val="24"/>
          <w:szCs w:val="24"/>
        </w:rPr>
        <w:t xml:space="preserve">se refiere a la disminución progresiva de la producción de testosterona relacionada con el envejecimiento masculino. De acuerdo con la </w:t>
      </w:r>
      <w:r w:rsidR="001A7322" w:rsidRPr="009C0D62">
        <w:rPr>
          <w:rFonts w:ascii="Arial Narrow" w:hAnsi="Arial Narrow"/>
          <w:i/>
          <w:iCs/>
          <w:sz w:val="24"/>
          <w:szCs w:val="24"/>
        </w:rPr>
        <w:t>Cleveland Clinic</w:t>
      </w:r>
      <w:r w:rsidR="001A7322" w:rsidRPr="001A7322">
        <w:rPr>
          <w:rFonts w:ascii="Arial Narrow" w:hAnsi="Arial Narrow"/>
          <w:sz w:val="24"/>
          <w:szCs w:val="24"/>
        </w:rPr>
        <w:t>, este proceso ocurre de manera gradual y puede generar síntomas físicos, emocionales y sexuales que impactan significativamente la calidad de vida de quienes la experimentan</w:t>
      </w:r>
      <w:r w:rsidR="001A7322">
        <w:rPr>
          <w:rFonts w:ascii="Arial Narrow" w:hAnsi="Arial Narrow"/>
          <w:sz w:val="24"/>
          <w:szCs w:val="24"/>
        </w:rPr>
        <w:t>.</w:t>
      </w:r>
    </w:p>
    <w:p w14:paraId="08965587" w14:textId="65DC0E3A" w:rsidR="00C723B3" w:rsidRDefault="00611D36" w:rsidP="008105A4">
      <w:pPr>
        <w:widowControl/>
        <w:spacing w:before="100" w:beforeAutospacing="1" w:after="100" w:afterAutospacing="1" w:line="360" w:lineRule="auto"/>
        <w:ind w:firstLine="708"/>
        <w:jc w:val="both"/>
        <w:rPr>
          <w:rFonts w:ascii="Arial Narrow" w:hAnsi="Arial Narrow"/>
          <w:sz w:val="24"/>
          <w:szCs w:val="24"/>
        </w:rPr>
      </w:pPr>
      <w:r w:rsidRPr="00B73F54">
        <w:rPr>
          <w:rFonts w:ascii="Arial Narrow" w:hAnsi="Arial Narrow"/>
          <w:color w:val="000000" w:themeColor="text1"/>
          <w:sz w:val="24"/>
          <w:szCs w:val="24"/>
        </w:rPr>
        <w:t>L</w:t>
      </w:r>
      <w:r w:rsidR="00C723B3" w:rsidRPr="00B73F54">
        <w:rPr>
          <w:rFonts w:ascii="Arial Narrow" w:hAnsi="Arial Narrow"/>
          <w:color w:val="000000" w:themeColor="text1"/>
          <w:sz w:val="24"/>
          <w:szCs w:val="24"/>
        </w:rPr>
        <w:t xml:space="preserve">a </w:t>
      </w:r>
      <w:r w:rsidR="00C723B3" w:rsidRPr="00C723B3">
        <w:rPr>
          <w:rFonts w:ascii="Arial Narrow" w:hAnsi="Arial Narrow"/>
          <w:sz w:val="24"/>
          <w:szCs w:val="24"/>
        </w:rPr>
        <w:t>andropausia representa una condición de salud que puede impactar significativamente el bienestar físico, emocional y social de los hombres, particularmente cuando no existe diagnóstico oportuno ni atención médica adecuada</w:t>
      </w:r>
      <w:r w:rsidR="008105A4">
        <w:rPr>
          <w:rFonts w:ascii="Arial Narrow" w:hAnsi="Arial Narrow"/>
          <w:sz w:val="24"/>
          <w:szCs w:val="24"/>
        </w:rPr>
        <w:t>.</w:t>
      </w:r>
    </w:p>
    <w:p w14:paraId="4AB866C4" w14:textId="55DAEDA9" w:rsidR="00CC268F" w:rsidRDefault="00C723B3" w:rsidP="008B6D00">
      <w:pPr>
        <w:widowControl/>
        <w:spacing w:before="100" w:beforeAutospacing="1" w:after="100" w:afterAutospacing="1" w:line="360" w:lineRule="auto"/>
        <w:ind w:firstLine="708"/>
        <w:jc w:val="both"/>
        <w:rPr>
          <w:rFonts w:ascii="Arial Narrow" w:hAnsi="Arial Narrow"/>
          <w:sz w:val="24"/>
          <w:szCs w:val="24"/>
        </w:rPr>
      </w:pPr>
      <w:r w:rsidRPr="00C723B3">
        <w:rPr>
          <w:rFonts w:ascii="Arial Narrow" w:hAnsi="Arial Narrow"/>
          <w:sz w:val="24"/>
          <w:szCs w:val="24"/>
        </w:rPr>
        <w:t xml:space="preserve">Asimismo, la disminución progresiva de testosterona puede generar </w:t>
      </w:r>
      <w:r w:rsidR="00246471">
        <w:rPr>
          <w:rFonts w:ascii="Arial Narrow" w:hAnsi="Arial Narrow"/>
          <w:sz w:val="24"/>
          <w:szCs w:val="24"/>
        </w:rPr>
        <w:t>afectaciones</w:t>
      </w:r>
      <w:r w:rsidR="007103DD">
        <w:rPr>
          <w:rFonts w:ascii="Arial Narrow" w:hAnsi="Arial Narrow"/>
          <w:sz w:val="24"/>
          <w:szCs w:val="24"/>
        </w:rPr>
        <w:t xml:space="preserve"> físicas, emocionales y sexuales que impactan la calidad de vida de los hombres. Sin </w:t>
      </w:r>
      <w:r w:rsidR="000B2188">
        <w:rPr>
          <w:rFonts w:ascii="Arial Narrow" w:hAnsi="Arial Narrow"/>
          <w:sz w:val="24"/>
          <w:szCs w:val="24"/>
        </w:rPr>
        <w:t>embargo</w:t>
      </w:r>
      <w:r w:rsidR="007103DD">
        <w:rPr>
          <w:rFonts w:ascii="Arial Narrow" w:hAnsi="Arial Narrow"/>
          <w:sz w:val="24"/>
          <w:szCs w:val="24"/>
        </w:rPr>
        <w:t>, la persistencia de estigmas culturales asociados a la masculinidad dific</w:t>
      </w:r>
      <w:r w:rsidR="000B2188">
        <w:rPr>
          <w:rFonts w:ascii="Arial Narrow" w:hAnsi="Arial Narrow"/>
          <w:sz w:val="24"/>
          <w:szCs w:val="24"/>
        </w:rPr>
        <w:t>ulta el reconocimiento de los síntomas y el acceso oportuno a servicios de salud.</w:t>
      </w:r>
    </w:p>
    <w:p w14:paraId="4112B6B7" w14:textId="77777777" w:rsidR="00AD192F" w:rsidRPr="00AD192F" w:rsidRDefault="002E61DC" w:rsidP="002E61DC">
      <w:pPr>
        <w:widowControl/>
        <w:spacing w:before="100" w:beforeAutospacing="1" w:after="100" w:afterAutospacing="1" w:line="360" w:lineRule="auto"/>
        <w:ind w:firstLine="708"/>
        <w:jc w:val="both"/>
        <w:rPr>
          <w:rFonts w:ascii="Arial Narrow" w:hAnsi="Arial Narrow"/>
          <w:color w:val="000000" w:themeColor="text1"/>
          <w:sz w:val="24"/>
          <w:szCs w:val="24"/>
        </w:rPr>
      </w:pPr>
      <w:r w:rsidRPr="00AD192F">
        <w:rPr>
          <w:rFonts w:ascii="Arial Narrow" w:hAnsi="Arial Narrow"/>
          <w:color w:val="000000" w:themeColor="text1"/>
          <w:sz w:val="24"/>
          <w:szCs w:val="24"/>
        </w:rPr>
        <w:t xml:space="preserve">Por ello, </w:t>
      </w:r>
      <w:r w:rsidR="00AD192F" w:rsidRPr="00AD192F">
        <w:rPr>
          <w:rFonts w:ascii="Arial Narrow" w:hAnsi="Arial Narrow"/>
          <w:color w:val="000000" w:themeColor="text1"/>
          <w:sz w:val="24"/>
          <w:szCs w:val="24"/>
        </w:rPr>
        <w:t>La presente iniciativa encuentra sustento en el marco jurídico nacional e internacional en materia de derecho a la salud, igualdad sustantiva y protección de los derechos humanos. En el ámbito nacional, el artículo 4° de la Constitución Política de los Estados Unidos Mexicanos reconoce el derecho humano a la protección de la salud, mientras que la Ley General de Salud y diversas Normas Oficiales Mexicanas, entre ellas la NOM-035-SSA2-2012 relativa a la perimenopausia y posmenopausia, establecen la obligación de promover acciones de prevención, diagnóstico oportuno y atención integral.</w:t>
      </w:r>
    </w:p>
    <w:p w14:paraId="1C79E662" w14:textId="4DBF5AFF" w:rsidR="002E61DC" w:rsidRPr="00B73F54" w:rsidRDefault="002E61DC" w:rsidP="002E61DC">
      <w:pPr>
        <w:widowControl/>
        <w:spacing w:before="100" w:beforeAutospacing="1" w:after="100" w:afterAutospacing="1" w:line="360" w:lineRule="auto"/>
        <w:ind w:firstLine="708"/>
        <w:jc w:val="both"/>
        <w:rPr>
          <w:rFonts w:ascii="Arial Narrow" w:hAnsi="Arial Narrow"/>
          <w:color w:val="000000" w:themeColor="text1"/>
          <w:sz w:val="24"/>
          <w:szCs w:val="24"/>
        </w:rPr>
      </w:pPr>
      <w:r w:rsidRPr="00B73F54">
        <w:rPr>
          <w:rFonts w:ascii="Arial Narrow" w:hAnsi="Arial Narrow"/>
          <w:color w:val="000000" w:themeColor="text1"/>
          <w:sz w:val="24"/>
          <w:szCs w:val="24"/>
        </w:rPr>
        <w:t>En el ámbito internacional, la iniciativa se encuentra alineada con la Agenda 2030 para el Desarrollo Sostenible de la Organización de las Naciones Unidas, particularmente con el Objetivo de Desarrollo Sostenible número 3, relativo a garantizar una vida sana y promover el bienestar para todas las personas en todas las edades, así como con el Objetivo número 5, orientado a lograr la igualdad de género y empoderar a todas las mujeres y niñas. La atención integral a la salud durante el climaterio y la menopausia constituye una acción necesaria para reducir brechas de desigualdad, fortalecer el bienestar físico y emocional, y garantizar condiciones dignas de salud para las mujeres.</w:t>
      </w:r>
    </w:p>
    <w:p w14:paraId="005B5B5E" w14:textId="77777777" w:rsidR="00BB0519" w:rsidRDefault="002E61DC" w:rsidP="002E61DC">
      <w:pPr>
        <w:widowControl/>
        <w:spacing w:before="100" w:beforeAutospacing="1" w:after="100" w:afterAutospacing="1" w:line="360" w:lineRule="auto"/>
        <w:ind w:firstLine="708"/>
        <w:jc w:val="both"/>
        <w:rPr>
          <w:rFonts w:ascii="Arial Narrow" w:hAnsi="Arial Narrow"/>
          <w:color w:val="000000" w:themeColor="text1"/>
          <w:sz w:val="24"/>
          <w:szCs w:val="24"/>
        </w:rPr>
      </w:pPr>
      <w:r w:rsidRPr="00F56D6A">
        <w:rPr>
          <w:rFonts w:ascii="Arial Narrow" w:hAnsi="Arial Narrow"/>
          <w:color w:val="000000" w:themeColor="text1"/>
          <w:sz w:val="24"/>
          <w:szCs w:val="24"/>
        </w:rPr>
        <w:t xml:space="preserve">De igual forma, se atiende los compromisos asumidos por el Estado mexicano en la Convención sobre la Eliminación de Todas las Formas de Discriminación contra la Mujer (CEDAW), la cual establece la obligación de los Estados Parte de adoptar medidas apropiadas para eliminar la discriminación contra las mujeres en la esfera de la atención médica y garantizar el acceso a servicios relacionados con su salud integral durante todas las etapas de la vida. </w:t>
      </w:r>
      <w:r w:rsidR="00475C80" w:rsidRPr="00475C80">
        <w:rPr>
          <w:rFonts w:ascii="Arial Narrow" w:hAnsi="Arial Narrow"/>
          <w:color w:val="000000" w:themeColor="text1"/>
          <w:sz w:val="24"/>
          <w:szCs w:val="24"/>
        </w:rPr>
        <w:t>Asimismo, resulta acorde con los principios de la Convención Interamericana para Prevenir, Sancionar y Erradicar la Violencia contra la Mujer 'Convención de Belém do Pará', en tanto promueve acciones institucionales orientadas a eliminar prácticas que invisibilizan o minimizan afectaciones relacionadas con la salud de las mujeres.</w:t>
      </w:r>
    </w:p>
    <w:p w14:paraId="5209547B" w14:textId="77777777" w:rsidR="00BB0519" w:rsidRPr="00BB0519" w:rsidRDefault="00BB0519" w:rsidP="006A5E2E">
      <w:pPr>
        <w:widowControl/>
        <w:spacing w:before="100" w:beforeAutospacing="1" w:after="100" w:afterAutospacing="1" w:line="360" w:lineRule="auto"/>
        <w:ind w:firstLine="708"/>
        <w:jc w:val="both"/>
        <w:rPr>
          <w:rFonts w:ascii="Arial Narrow" w:hAnsi="Arial Narrow"/>
          <w:color w:val="000000" w:themeColor="text1"/>
          <w:sz w:val="24"/>
          <w:szCs w:val="24"/>
        </w:rPr>
      </w:pPr>
      <w:r w:rsidRPr="00BB0519">
        <w:rPr>
          <w:rFonts w:ascii="Arial Narrow" w:hAnsi="Arial Narrow"/>
          <w:color w:val="000000" w:themeColor="text1"/>
          <w:sz w:val="24"/>
          <w:szCs w:val="24"/>
        </w:rPr>
        <w:t>De conformidad con lo dispuesto en los artículos 4° y 73, fracción XVI, de la Constitución Política de los Estados Unidos Mexicanos, así como en la Ley General de Salud, el Estado de Yucatán cuenta con facultades para fortalecer su marco normativo en materia de salud pública. En ese sentido, la presente iniciativa tiene por objeto incorporar en la Ley de Salud del Estado de Yucatán un capítulo específico que establezca las bases para la atención integral durante el climaterio, la menopausia y la andropausia, mediante acciones de prevención, diagnóstico oportuno, atención médica, salud mental, capacitación institucional, sensibilización social e investigación científica, bajo los principios de derechos humanos, igualdad sustantiva, perspectiva de género y pertinencia cultural.</w:t>
      </w:r>
    </w:p>
    <w:p w14:paraId="168DE42F" w14:textId="7AA61F3D" w:rsidR="006A5E2E" w:rsidRPr="00F54388" w:rsidRDefault="006A5E2E" w:rsidP="006A5E2E">
      <w:pPr>
        <w:widowControl/>
        <w:spacing w:before="100" w:beforeAutospacing="1" w:after="100" w:afterAutospacing="1" w:line="360" w:lineRule="auto"/>
        <w:ind w:firstLine="708"/>
        <w:jc w:val="both"/>
        <w:rPr>
          <w:rFonts w:ascii="Arial Narrow" w:hAnsi="Arial Narrow"/>
          <w:color w:val="000000" w:themeColor="text1"/>
          <w:sz w:val="24"/>
          <w:szCs w:val="24"/>
        </w:rPr>
      </w:pPr>
      <w:r w:rsidRPr="00F54388">
        <w:rPr>
          <w:rFonts w:ascii="Arial Narrow" w:hAnsi="Arial Narrow"/>
          <w:color w:val="000000" w:themeColor="text1"/>
          <w:sz w:val="24"/>
          <w:szCs w:val="24"/>
        </w:rPr>
        <w:t>Es por ello, que la presente iniciativa tiene por objeto incorporar medidas orientadas a la prevención, diagnóstico oportuno, atención médica, salud mental, sensibilización social y eliminación de estigmas, bajo un enfoque de derechos humanos, perspectiva de género, igualdad sustantiva y pertinencia cultural.</w:t>
      </w:r>
    </w:p>
    <w:p w14:paraId="588F4C17" w14:textId="110BC889" w:rsidR="00684D1F" w:rsidRPr="00684D1F" w:rsidRDefault="00A93AC5" w:rsidP="00A93AC5">
      <w:pPr>
        <w:widowControl/>
        <w:spacing w:before="100" w:beforeAutospacing="1" w:after="100" w:afterAutospacing="1" w:line="360" w:lineRule="auto"/>
        <w:ind w:firstLine="708"/>
        <w:jc w:val="both"/>
        <w:rPr>
          <w:rFonts w:ascii="Arial Narrow" w:hAnsi="Arial Narrow"/>
          <w:sz w:val="24"/>
          <w:szCs w:val="24"/>
        </w:rPr>
      </w:pPr>
      <w:r w:rsidRPr="00F54388">
        <w:rPr>
          <w:rFonts w:ascii="Arial Narrow" w:hAnsi="Arial Narrow"/>
          <w:color w:val="000000" w:themeColor="text1"/>
          <w:sz w:val="24"/>
          <w:szCs w:val="24"/>
        </w:rPr>
        <w:t>S</w:t>
      </w:r>
      <w:r w:rsidR="001408E4" w:rsidRPr="00F54388">
        <w:rPr>
          <w:rFonts w:ascii="Arial Narrow" w:hAnsi="Arial Narrow"/>
          <w:color w:val="000000" w:themeColor="text1"/>
          <w:sz w:val="24"/>
          <w:szCs w:val="24"/>
        </w:rPr>
        <w:t xml:space="preserve">e </w:t>
      </w:r>
      <w:r w:rsidRPr="00F54388">
        <w:rPr>
          <w:rFonts w:ascii="Arial Narrow" w:hAnsi="Arial Narrow"/>
          <w:color w:val="000000" w:themeColor="text1"/>
          <w:sz w:val="24"/>
          <w:szCs w:val="24"/>
        </w:rPr>
        <w:t>propone reconocer</w:t>
      </w:r>
      <w:r w:rsidR="00684D1F" w:rsidRPr="00F54388">
        <w:rPr>
          <w:rFonts w:ascii="Arial Narrow" w:hAnsi="Arial Narrow"/>
          <w:color w:val="000000" w:themeColor="text1"/>
          <w:sz w:val="24"/>
          <w:szCs w:val="24"/>
        </w:rPr>
        <w:t xml:space="preserve"> estas etapas como una prioridad de salud pública, garantizando </w:t>
      </w:r>
      <w:r w:rsidRPr="00F54388">
        <w:rPr>
          <w:rFonts w:ascii="Arial Narrow" w:hAnsi="Arial Narrow"/>
          <w:color w:val="000000" w:themeColor="text1"/>
          <w:sz w:val="24"/>
          <w:szCs w:val="24"/>
        </w:rPr>
        <w:t xml:space="preserve">la atención </w:t>
      </w:r>
      <w:r w:rsidR="00684D1F" w:rsidRPr="00F54388">
        <w:rPr>
          <w:rFonts w:ascii="Arial Narrow" w:hAnsi="Arial Narrow"/>
          <w:color w:val="000000" w:themeColor="text1"/>
          <w:sz w:val="24"/>
          <w:szCs w:val="24"/>
        </w:rPr>
        <w:t>in</w:t>
      </w:r>
      <w:r w:rsidR="00684D1F" w:rsidRPr="00684D1F">
        <w:rPr>
          <w:rFonts w:ascii="Arial Narrow" w:hAnsi="Arial Narrow"/>
          <w:sz w:val="24"/>
          <w:szCs w:val="24"/>
        </w:rPr>
        <w:t>tegral que abarque la promoción de la salud, la prevención de enfermedades, el diagnóstico oportuno, el tratamiento adecuado y el seguimiento continuo</w:t>
      </w:r>
      <w:r>
        <w:rPr>
          <w:rFonts w:ascii="Arial Narrow" w:hAnsi="Arial Narrow"/>
          <w:sz w:val="24"/>
          <w:szCs w:val="24"/>
        </w:rPr>
        <w:t xml:space="preserve">, mediante la </w:t>
      </w:r>
      <w:r w:rsidR="00684D1F" w:rsidRPr="00684D1F">
        <w:rPr>
          <w:rFonts w:ascii="Arial Narrow" w:hAnsi="Arial Narrow"/>
          <w:sz w:val="24"/>
          <w:szCs w:val="24"/>
        </w:rPr>
        <w:t xml:space="preserve"> incorpora</w:t>
      </w:r>
      <w:r>
        <w:rPr>
          <w:rFonts w:ascii="Arial Narrow" w:hAnsi="Arial Narrow"/>
          <w:sz w:val="24"/>
          <w:szCs w:val="24"/>
        </w:rPr>
        <w:t>ción</w:t>
      </w:r>
      <w:r w:rsidR="00684D1F" w:rsidRPr="00684D1F">
        <w:rPr>
          <w:rFonts w:ascii="Arial Narrow" w:hAnsi="Arial Narrow"/>
          <w:sz w:val="24"/>
          <w:szCs w:val="24"/>
        </w:rPr>
        <w:t xml:space="preserve"> en la Ley de Salud del Estado de Yucatán</w:t>
      </w:r>
      <w:r>
        <w:rPr>
          <w:rFonts w:ascii="Arial Narrow" w:hAnsi="Arial Narrow"/>
          <w:sz w:val="24"/>
          <w:szCs w:val="24"/>
        </w:rPr>
        <w:t xml:space="preserve"> de</w:t>
      </w:r>
      <w:r w:rsidR="00684D1F" w:rsidRPr="00684D1F">
        <w:rPr>
          <w:rFonts w:ascii="Arial Narrow" w:hAnsi="Arial Narrow"/>
          <w:sz w:val="24"/>
          <w:szCs w:val="24"/>
        </w:rPr>
        <w:t xml:space="preserve"> un capítulo específico que establezca las bases para la atención integral durante el climaterio, la menopausia y la andropausia, definiendo obligaciones para las instituciones del Sistema Estatal de Salud en materia de capacitación, aplicación de guías clínicas, prevención de la discriminación, así como la implementación de campañas de información y el fomento a la investigación científica.</w:t>
      </w:r>
    </w:p>
    <w:p w14:paraId="58F83C10" w14:textId="29323004" w:rsidR="00A734E7" w:rsidRPr="00A64858" w:rsidRDefault="0026449A" w:rsidP="00A64858">
      <w:pPr>
        <w:spacing w:after="120" w:line="360" w:lineRule="auto"/>
        <w:jc w:val="both"/>
        <w:rPr>
          <w:rFonts w:ascii="Arial Narrow" w:hAnsi="Arial Narrow"/>
          <w:sz w:val="24"/>
          <w:szCs w:val="24"/>
        </w:rPr>
      </w:pPr>
      <w:r w:rsidRPr="00603CC5">
        <w:rPr>
          <w:rFonts w:ascii="Arial Narrow" w:hAnsi="Arial Narrow"/>
          <w:sz w:val="24"/>
          <w:szCs w:val="24"/>
        </w:rPr>
        <w:t xml:space="preserve">       Es por todo lo anterior, que sometemos a consideración de esta Soberanía la presente iniciativa, para quedar como sigue:</w:t>
      </w:r>
    </w:p>
    <w:p w14:paraId="530F5B12" w14:textId="1F0357D2" w:rsidR="0026449A" w:rsidRPr="00603CC5" w:rsidRDefault="0026449A" w:rsidP="003604DC">
      <w:pPr>
        <w:spacing w:after="120" w:line="360" w:lineRule="auto"/>
        <w:jc w:val="center"/>
        <w:rPr>
          <w:rFonts w:ascii="Arial Narrow" w:hAnsi="Arial Narrow"/>
          <w:b/>
          <w:bCs/>
          <w:sz w:val="24"/>
          <w:szCs w:val="24"/>
        </w:rPr>
      </w:pPr>
      <w:r w:rsidRPr="00603CC5">
        <w:rPr>
          <w:rFonts w:ascii="Arial Narrow" w:hAnsi="Arial Narrow"/>
          <w:b/>
          <w:bCs/>
          <w:sz w:val="24"/>
          <w:szCs w:val="24"/>
        </w:rPr>
        <w:t>DECRETO</w:t>
      </w:r>
    </w:p>
    <w:p w14:paraId="0F259A42" w14:textId="77777777" w:rsidR="0026449A" w:rsidRPr="00342E20" w:rsidRDefault="0026449A" w:rsidP="003604DC">
      <w:pPr>
        <w:spacing w:line="360" w:lineRule="auto"/>
        <w:jc w:val="both"/>
        <w:rPr>
          <w:rFonts w:ascii="Arial Narrow" w:hAnsi="Arial Narrow"/>
          <w:b/>
          <w:sz w:val="24"/>
          <w:szCs w:val="24"/>
        </w:rPr>
      </w:pPr>
      <w:r w:rsidRPr="00603CC5">
        <w:rPr>
          <w:rFonts w:ascii="Arial Narrow" w:hAnsi="Arial Narrow"/>
          <w:b/>
          <w:bCs/>
          <w:sz w:val="24"/>
          <w:szCs w:val="24"/>
        </w:rPr>
        <w:t>ARTÍCULO ÚNICO:</w:t>
      </w:r>
      <w:r w:rsidRPr="00603CC5">
        <w:rPr>
          <w:rFonts w:ascii="Arial Narrow" w:hAnsi="Arial Narrow"/>
          <w:sz w:val="24"/>
          <w:szCs w:val="24"/>
        </w:rPr>
        <w:t xml:space="preserve">   </w:t>
      </w:r>
      <w:r w:rsidR="00342E20" w:rsidRPr="00342E20">
        <w:rPr>
          <w:rFonts w:ascii="Arial Narrow" w:hAnsi="Arial Narrow"/>
          <w:b/>
          <w:sz w:val="24"/>
          <w:szCs w:val="24"/>
        </w:rPr>
        <w:t>SE ADICIONA UN CAPITULO VIII BIS</w:t>
      </w:r>
      <w:r w:rsidR="00342E20">
        <w:rPr>
          <w:rFonts w:ascii="Arial Narrow" w:hAnsi="Arial Narrow"/>
          <w:sz w:val="24"/>
          <w:szCs w:val="24"/>
        </w:rPr>
        <w:t xml:space="preserve"> </w:t>
      </w:r>
      <w:r w:rsidR="00342E20">
        <w:rPr>
          <w:rFonts w:ascii="Arial Narrow" w:hAnsi="Arial Narrow"/>
          <w:b/>
          <w:sz w:val="24"/>
          <w:szCs w:val="24"/>
        </w:rPr>
        <w:t>A</w:t>
      </w:r>
      <w:r w:rsidR="00342E20" w:rsidRPr="00342E20">
        <w:rPr>
          <w:rFonts w:ascii="Arial Narrow" w:hAnsi="Arial Narrow"/>
          <w:b/>
          <w:sz w:val="24"/>
          <w:szCs w:val="24"/>
        </w:rPr>
        <w:t xml:space="preserve"> LA LEY DE SALUD DEL ESTADO DE YUCATAN, PARA QUEDAR COMO SIGUE:</w:t>
      </w:r>
    </w:p>
    <w:p w14:paraId="309B8BDA" w14:textId="77777777" w:rsidR="0026449A" w:rsidRPr="0026449A" w:rsidRDefault="0026449A" w:rsidP="003604DC">
      <w:pPr>
        <w:widowControl/>
        <w:spacing w:after="160" w:line="360" w:lineRule="auto"/>
        <w:jc w:val="center"/>
        <w:rPr>
          <w:rFonts w:ascii="Arial Narrow" w:hAnsi="Arial Narrow"/>
          <w:b/>
          <w:sz w:val="24"/>
          <w:szCs w:val="24"/>
        </w:rPr>
      </w:pPr>
      <w:r w:rsidRPr="0026449A">
        <w:rPr>
          <w:rFonts w:ascii="Arial Narrow" w:hAnsi="Arial Narrow"/>
          <w:b/>
          <w:sz w:val="24"/>
          <w:szCs w:val="24"/>
        </w:rPr>
        <w:t>CAPÍTULO VIII BIS</w:t>
      </w:r>
    </w:p>
    <w:p w14:paraId="5A50F4AC" w14:textId="1B9CEAD6" w:rsidR="0026449A" w:rsidRPr="0026449A" w:rsidRDefault="0026449A" w:rsidP="003604DC">
      <w:pPr>
        <w:widowControl/>
        <w:spacing w:after="160" w:line="360" w:lineRule="auto"/>
        <w:jc w:val="center"/>
        <w:rPr>
          <w:rFonts w:ascii="Arial Narrow" w:hAnsi="Arial Narrow"/>
          <w:b/>
          <w:sz w:val="24"/>
          <w:szCs w:val="24"/>
        </w:rPr>
      </w:pPr>
      <w:r w:rsidRPr="0026449A">
        <w:rPr>
          <w:rFonts w:ascii="Arial Narrow" w:hAnsi="Arial Narrow"/>
          <w:b/>
          <w:sz w:val="24"/>
          <w:szCs w:val="24"/>
        </w:rPr>
        <w:t>ATENCIÓN INTEGRAL A LA SALUD DURANTE</w:t>
      </w:r>
      <w:r w:rsidR="008363B9">
        <w:rPr>
          <w:rFonts w:ascii="Arial Narrow" w:hAnsi="Arial Narrow"/>
          <w:b/>
          <w:sz w:val="24"/>
          <w:szCs w:val="24"/>
        </w:rPr>
        <w:t>LA PERIMENOPAUSIA,</w:t>
      </w:r>
      <w:r w:rsidRPr="0026449A">
        <w:rPr>
          <w:rFonts w:ascii="Arial Narrow" w:hAnsi="Arial Narrow"/>
          <w:b/>
          <w:sz w:val="24"/>
          <w:szCs w:val="24"/>
        </w:rPr>
        <w:t xml:space="preserve"> MENOPAUSIA</w:t>
      </w:r>
      <w:r w:rsidR="008363B9">
        <w:rPr>
          <w:rFonts w:ascii="Arial Narrow" w:hAnsi="Arial Narrow"/>
          <w:b/>
          <w:sz w:val="24"/>
          <w:szCs w:val="24"/>
        </w:rPr>
        <w:t>, CLIMATERIO</w:t>
      </w:r>
      <w:r w:rsidRPr="0026449A">
        <w:rPr>
          <w:rFonts w:ascii="Arial Narrow" w:hAnsi="Arial Narrow"/>
          <w:b/>
          <w:sz w:val="24"/>
          <w:szCs w:val="24"/>
        </w:rPr>
        <w:t xml:space="preserve"> Y ANDROPAUSIA</w:t>
      </w:r>
    </w:p>
    <w:p w14:paraId="6EC75973" w14:textId="1AA2F905" w:rsidR="0026449A" w:rsidRDefault="0026449A" w:rsidP="003604DC">
      <w:pPr>
        <w:widowControl/>
        <w:spacing w:after="160" w:line="360" w:lineRule="auto"/>
        <w:jc w:val="both"/>
        <w:rPr>
          <w:rFonts w:ascii="Arial Narrow" w:hAnsi="Arial Narrow"/>
          <w:b/>
          <w:sz w:val="24"/>
          <w:szCs w:val="24"/>
        </w:rPr>
      </w:pPr>
      <w:r w:rsidRPr="0026449A">
        <w:rPr>
          <w:rFonts w:ascii="Arial Narrow" w:hAnsi="Arial Narrow"/>
          <w:b/>
          <w:sz w:val="24"/>
          <w:szCs w:val="24"/>
        </w:rPr>
        <w:t>Artículo 76 BIS. La atención a la salud durante el climaterio, menopausia y andropausia tendrá carácter prioritario dentro del Sistema Estatal de Salud, en atención a su impacto en la calidad de vida</w:t>
      </w:r>
      <w:r w:rsidR="00850B21">
        <w:rPr>
          <w:rFonts w:ascii="Arial Narrow" w:hAnsi="Arial Narrow"/>
          <w:b/>
          <w:sz w:val="24"/>
          <w:szCs w:val="24"/>
        </w:rPr>
        <w:t>, bienestar físico, emocional y social de las personas.</w:t>
      </w:r>
    </w:p>
    <w:p w14:paraId="74D988BF" w14:textId="1F791A12" w:rsidR="00850B21" w:rsidRPr="0026449A" w:rsidRDefault="00850B21" w:rsidP="003604DC">
      <w:pPr>
        <w:widowControl/>
        <w:spacing w:after="160" w:line="360" w:lineRule="auto"/>
        <w:jc w:val="both"/>
        <w:rPr>
          <w:rFonts w:ascii="Arial Narrow" w:hAnsi="Arial Narrow"/>
          <w:b/>
          <w:sz w:val="24"/>
          <w:szCs w:val="24"/>
        </w:rPr>
      </w:pPr>
      <w:r w:rsidRPr="00850B21">
        <w:rPr>
          <w:rFonts w:ascii="Arial Narrow" w:hAnsi="Arial Narrow"/>
          <w:b/>
          <w:sz w:val="24"/>
          <w:szCs w:val="24"/>
        </w:rPr>
        <w:t>Las instituciones públicas del Sistema Estatal de Salud deberán garantizar una atención integral que comprenda acciones de promoción de la salud, prevención, diagnóstico oportuno,</w:t>
      </w:r>
      <w:r w:rsidR="00CC3615" w:rsidRPr="00CC3615">
        <w:rPr>
          <w:rFonts w:ascii="Arial Narrow" w:hAnsi="Arial Narrow"/>
          <w:b/>
          <w:sz w:val="24"/>
          <w:szCs w:val="24"/>
        </w:rPr>
        <w:t xml:space="preserve"> </w:t>
      </w:r>
      <w:r w:rsidR="00CC3615" w:rsidRPr="00F56D6A">
        <w:rPr>
          <w:rFonts w:ascii="Arial Narrow" w:hAnsi="Arial Narrow"/>
          <w:b/>
          <w:color w:val="000000" w:themeColor="text1"/>
          <w:sz w:val="24"/>
          <w:szCs w:val="24"/>
        </w:rPr>
        <w:t xml:space="preserve">identificación temprana de factores de riesgo ginecológicos, metabólicos, cardiovasculares y osteomusculares y cualquier otro asociado, </w:t>
      </w:r>
      <w:r w:rsidR="00CC3615">
        <w:rPr>
          <w:rFonts w:ascii="Arial Narrow" w:hAnsi="Arial Narrow"/>
          <w:b/>
          <w:sz w:val="24"/>
          <w:szCs w:val="24"/>
        </w:rPr>
        <w:t>así como el</w:t>
      </w:r>
      <w:r w:rsidR="00CC3615" w:rsidRPr="006B2B52">
        <w:rPr>
          <w:rFonts w:ascii="Arial Narrow" w:hAnsi="Arial Narrow"/>
          <w:b/>
          <w:sz w:val="24"/>
          <w:szCs w:val="24"/>
        </w:rPr>
        <w:t xml:space="preserve"> </w:t>
      </w:r>
      <w:r w:rsidRPr="00850B21">
        <w:rPr>
          <w:rFonts w:ascii="Arial Narrow" w:hAnsi="Arial Narrow"/>
          <w:b/>
          <w:sz w:val="24"/>
          <w:szCs w:val="24"/>
        </w:rPr>
        <w:t xml:space="preserve">tratamiento, orientación médica y seguimiento clínico, considerando los aspectos físicos, psicológicos y </w:t>
      </w:r>
      <w:r w:rsidR="00CC3615">
        <w:rPr>
          <w:rFonts w:ascii="Arial Narrow" w:hAnsi="Arial Narrow"/>
          <w:b/>
          <w:sz w:val="24"/>
          <w:szCs w:val="24"/>
        </w:rPr>
        <w:t>sociales.</w:t>
      </w:r>
    </w:p>
    <w:p w14:paraId="00381E37" w14:textId="3EA78F4B" w:rsidR="0026449A" w:rsidRPr="00F56D6A" w:rsidRDefault="0026449A" w:rsidP="003604DC">
      <w:pPr>
        <w:widowControl/>
        <w:spacing w:after="160" w:line="360" w:lineRule="auto"/>
        <w:jc w:val="both"/>
        <w:rPr>
          <w:rFonts w:ascii="Arial Narrow" w:hAnsi="Arial Narrow"/>
          <w:b/>
          <w:color w:val="000000" w:themeColor="text1"/>
          <w:sz w:val="24"/>
          <w:szCs w:val="24"/>
        </w:rPr>
      </w:pPr>
      <w:r w:rsidRPr="0026449A">
        <w:rPr>
          <w:rFonts w:ascii="Arial Narrow" w:hAnsi="Arial Narrow"/>
          <w:b/>
          <w:sz w:val="24"/>
          <w:szCs w:val="24"/>
        </w:rPr>
        <w:t>Artículo 76 TER</w:t>
      </w:r>
      <w:r w:rsidRPr="00F56D6A">
        <w:rPr>
          <w:rFonts w:ascii="Arial Narrow" w:hAnsi="Arial Narrow"/>
          <w:b/>
          <w:color w:val="000000" w:themeColor="text1"/>
          <w:sz w:val="24"/>
          <w:szCs w:val="24"/>
        </w:rPr>
        <w:t xml:space="preserve">. </w:t>
      </w:r>
      <w:r w:rsidR="0075767C" w:rsidRPr="00F56D6A">
        <w:rPr>
          <w:rFonts w:ascii="Arial Narrow" w:hAnsi="Arial Narrow"/>
          <w:b/>
          <w:color w:val="000000" w:themeColor="text1"/>
          <w:sz w:val="24"/>
          <w:szCs w:val="24"/>
        </w:rPr>
        <w:t>La atención en salud mental comprenderá acciones de prevención, detección oportuna, orientación psicológica y, en su caso, referencia especializada para la atención de trastornos emocionales asociados a estas etapas</w:t>
      </w:r>
      <w:r w:rsidR="00850B21" w:rsidRPr="00F56D6A">
        <w:rPr>
          <w:rFonts w:ascii="Arial Narrow" w:hAnsi="Arial Narrow"/>
          <w:b/>
          <w:color w:val="000000" w:themeColor="text1"/>
          <w:sz w:val="24"/>
          <w:szCs w:val="24"/>
        </w:rPr>
        <w:t>, de manera enunciativa mas no limitativa</w:t>
      </w:r>
      <w:r w:rsidR="0075767C" w:rsidRPr="00F56D6A">
        <w:rPr>
          <w:rFonts w:ascii="Arial Narrow" w:hAnsi="Arial Narrow"/>
          <w:b/>
          <w:color w:val="000000" w:themeColor="text1"/>
          <w:sz w:val="24"/>
          <w:szCs w:val="24"/>
        </w:rPr>
        <w:t>, serán las siguientes</w:t>
      </w:r>
      <w:r w:rsidR="00850B21" w:rsidRPr="00F56D6A">
        <w:rPr>
          <w:rFonts w:ascii="Arial Narrow" w:hAnsi="Arial Narrow"/>
          <w:b/>
          <w:color w:val="000000" w:themeColor="text1"/>
          <w:sz w:val="24"/>
          <w:szCs w:val="24"/>
        </w:rPr>
        <w:t>:</w:t>
      </w:r>
    </w:p>
    <w:p w14:paraId="03EBC27B" w14:textId="04A6D76C" w:rsidR="0026449A" w:rsidRPr="0026449A" w:rsidRDefault="0026449A" w:rsidP="003604DC">
      <w:pPr>
        <w:widowControl/>
        <w:spacing w:after="160" w:line="360" w:lineRule="auto"/>
        <w:jc w:val="both"/>
        <w:rPr>
          <w:rFonts w:ascii="Arial Narrow" w:hAnsi="Arial Narrow"/>
          <w:b/>
          <w:sz w:val="24"/>
          <w:szCs w:val="24"/>
        </w:rPr>
      </w:pPr>
      <w:r w:rsidRPr="0026449A">
        <w:rPr>
          <w:rFonts w:ascii="Arial Narrow" w:hAnsi="Arial Narrow"/>
          <w:b/>
          <w:sz w:val="24"/>
          <w:szCs w:val="24"/>
        </w:rPr>
        <w:t>I. Orientación médica y educación para la salud</w:t>
      </w:r>
      <w:r w:rsidR="00850B21">
        <w:rPr>
          <w:rFonts w:ascii="Arial Narrow" w:hAnsi="Arial Narrow"/>
          <w:b/>
          <w:sz w:val="24"/>
          <w:szCs w:val="24"/>
        </w:rPr>
        <w:t>;</w:t>
      </w:r>
    </w:p>
    <w:p w14:paraId="06909964" w14:textId="08E7D85D" w:rsidR="0026449A" w:rsidRPr="00F56D6A" w:rsidRDefault="0026449A" w:rsidP="003604DC">
      <w:pPr>
        <w:widowControl/>
        <w:spacing w:after="160" w:line="360" w:lineRule="auto"/>
        <w:jc w:val="both"/>
        <w:rPr>
          <w:rFonts w:ascii="Arial Narrow" w:hAnsi="Arial Narrow"/>
          <w:b/>
          <w:color w:val="000000" w:themeColor="text1"/>
          <w:sz w:val="24"/>
          <w:szCs w:val="24"/>
        </w:rPr>
      </w:pPr>
      <w:r w:rsidRPr="0026449A">
        <w:rPr>
          <w:rFonts w:ascii="Arial Narrow" w:hAnsi="Arial Narrow"/>
          <w:b/>
          <w:sz w:val="24"/>
          <w:szCs w:val="24"/>
        </w:rPr>
        <w:t xml:space="preserve">II. </w:t>
      </w:r>
      <w:r w:rsidR="00850B21">
        <w:rPr>
          <w:rFonts w:ascii="Arial Narrow" w:hAnsi="Arial Narrow"/>
          <w:b/>
          <w:sz w:val="24"/>
          <w:szCs w:val="24"/>
        </w:rPr>
        <w:t>A</w:t>
      </w:r>
      <w:r w:rsidRPr="0026449A">
        <w:rPr>
          <w:rFonts w:ascii="Arial Narrow" w:hAnsi="Arial Narrow"/>
          <w:b/>
          <w:sz w:val="24"/>
          <w:szCs w:val="24"/>
        </w:rPr>
        <w:t xml:space="preserve">cceso a tratamientos farmacológicos y no </w:t>
      </w:r>
      <w:r w:rsidRPr="00F56D6A">
        <w:rPr>
          <w:rFonts w:ascii="Arial Narrow" w:hAnsi="Arial Narrow"/>
          <w:b/>
          <w:color w:val="000000" w:themeColor="text1"/>
          <w:sz w:val="24"/>
          <w:szCs w:val="24"/>
        </w:rPr>
        <w:t>farmacológicos</w:t>
      </w:r>
      <w:r w:rsidR="00B86E52" w:rsidRPr="00F56D6A">
        <w:rPr>
          <w:rFonts w:ascii="Arial Narrow" w:hAnsi="Arial Narrow"/>
          <w:b/>
          <w:color w:val="000000" w:themeColor="text1"/>
          <w:sz w:val="24"/>
          <w:szCs w:val="24"/>
        </w:rPr>
        <w:t xml:space="preserve"> basados en evidencia científica y conforme a las guías clínicas vigentes;</w:t>
      </w:r>
    </w:p>
    <w:p w14:paraId="745955B9" w14:textId="67A9DBD0" w:rsidR="0026449A" w:rsidRPr="00F56D6A" w:rsidRDefault="0026449A" w:rsidP="003604DC">
      <w:pPr>
        <w:widowControl/>
        <w:spacing w:after="160" w:line="360" w:lineRule="auto"/>
        <w:jc w:val="both"/>
        <w:rPr>
          <w:rFonts w:ascii="Arial Narrow" w:hAnsi="Arial Narrow"/>
          <w:b/>
          <w:color w:val="000000" w:themeColor="text1"/>
          <w:sz w:val="24"/>
          <w:szCs w:val="24"/>
        </w:rPr>
      </w:pPr>
      <w:r w:rsidRPr="0026449A">
        <w:rPr>
          <w:rFonts w:ascii="Arial Narrow" w:hAnsi="Arial Narrow"/>
          <w:b/>
          <w:sz w:val="24"/>
          <w:szCs w:val="24"/>
        </w:rPr>
        <w:t xml:space="preserve">III. </w:t>
      </w:r>
      <w:r w:rsidR="00850B21">
        <w:rPr>
          <w:rFonts w:ascii="Arial Narrow" w:hAnsi="Arial Narrow"/>
          <w:b/>
          <w:sz w:val="24"/>
          <w:szCs w:val="24"/>
        </w:rPr>
        <w:t>A</w:t>
      </w:r>
      <w:r w:rsidRPr="0026449A">
        <w:rPr>
          <w:rFonts w:ascii="Arial Narrow" w:hAnsi="Arial Narrow"/>
          <w:b/>
          <w:sz w:val="24"/>
          <w:szCs w:val="24"/>
        </w:rPr>
        <w:t>tención en salud mental</w:t>
      </w:r>
      <w:r w:rsidR="00EA3B1F">
        <w:rPr>
          <w:rFonts w:ascii="Arial Narrow" w:hAnsi="Arial Narrow"/>
          <w:b/>
          <w:sz w:val="24"/>
          <w:szCs w:val="24"/>
        </w:rPr>
        <w:t xml:space="preserve">, </w:t>
      </w:r>
      <w:r w:rsidR="00EA3B1F" w:rsidRPr="00F56D6A">
        <w:rPr>
          <w:rFonts w:ascii="Arial Narrow" w:hAnsi="Arial Narrow"/>
          <w:b/>
          <w:color w:val="000000" w:themeColor="text1"/>
          <w:sz w:val="24"/>
          <w:szCs w:val="24"/>
        </w:rPr>
        <w:t>que incluya acciones de consejería y educación para el autocuidado dirigidas a pacientes y familiares</w:t>
      </w:r>
      <w:r w:rsidR="00850B21" w:rsidRPr="00F56D6A">
        <w:rPr>
          <w:rFonts w:ascii="Arial Narrow" w:hAnsi="Arial Narrow"/>
          <w:b/>
          <w:color w:val="000000" w:themeColor="text1"/>
          <w:sz w:val="24"/>
          <w:szCs w:val="24"/>
        </w:rPr>
        <w:t>;</w:t>
      </w:r>
    </w:p>
    <w:p w14:paraId="223A7D4E" w14:textId="177BCA84" w:rsidR="0026449A" w:rsidRPr="0026449A" w:rsidRDefault="0026449A" w:rsidP="003604DC">
      <w:pPr>
        <w:widowControl/>
        <w:spacing w:after="160" w:line="360" w:lineRule="auto"/>
        <w:jc w:val="both"/>
        <w:rPr>
          <w:rFonts w:ascii="Arial Narrow" w:hAnsi="Arial Narrow"/>
          <w:b/>
          <w:sz w:val="24"/>
          <w:szCs w:val="24"/>
        </w:rPr>
      </w:pPr>
      <w:r w:rsidRPr="0026449A">
        <w:rPr>
          <w:rFonts w:ascii="Arial Narrow" w:hAnsi="Arial Narrow"/>
          <w:b/>
          <w:sz w:val="24"/>
          <w:szCs w:val="24"/>
        </w:rPr>
        <w:t>IV.</w:t>
      </w:r>
      <w:r w:rsidRPr="0026449A">
        <w:rPr>
          <w:sz w:val="24"/>
          <w:szCs w:val="24"/>
        </w:rPr>
        <w:t xml:space="preserve"> </w:t>
      </w:r>
      <w:r w:rsidR="00850B21">
        <w:rPr>
          <w:rFonts w:ascii="Arial Narrow" w:hAnsi="Arial Narrow"/>
          <w:b/>
          <w:sz w:val="24"/>
          <w:szCs w:val="24"/>
        </w:rPr>
        <w:t>P</w:t>
      </w:r>
      <w:r w:rsidRPr="0026449A">
        <w:rPr>
          <w:rFonts w:ascii="Arial Narrow" w:hAnsi="Arial Narrow"/>
          <w:b/>
          <w:sz w:val="24"/>
          <w:szCs w:val="24"/>
        </w:rPr>
        <w:t>revención</w:t>
      </w:r>
      <w:r w:rsidR="00850B21">
        <w:rPr>
          <w:rFonts w:ascii="Arial Narrow" w:hAnsi="Arial Narrow"/>
          <w:b/>
          <w:sz w:val="24"/>
          <w:szCs w:val="24"/>
        </w:rPr>
        <w:t xml:space="preserve"> y detección oportuna</w:t>
      </w:r>
      <w:r w:rsidRPr="0026449A">
        <w:rPr>
          <w:rFonts w:ascii="Arial Narrow" w:hAnsi="Arial Narrow"/>
          <w:b/>
          <w:sz w:val="24"/>
          <w:szCs w:val="24"/>
        </w:rPr>
        <w:t xml:space="preserve"> de enfermedades asociadas </w:t>
      </w:r>
      <w:r w:rsidR="00850B21">
        <w:rPr>
          <w:rFonts w:ascii="Arial Narrow" w:hAnsi="Arial Narrow"/>
          <w:b/>
          <w:sz w:val="24"/>
          <w:szCs w:val="24"/>
        </w:rPr>
        <w:t xml:space="preserve">incluyendo </w:t>
      </w:r>
      <w:r w:rsidRPr="0026449A">
        <w:rPr>
          <w:rFonts w:ascii="Arial Narrow" w:hAnsi="Arial Narrow"/>
          <w:b/>
          <w:sz w:val="24"/>
          <w:szCs w:val="24"/>
        </w:rPr>
        <w:t>osteoporosis, cardiovasculares</w:t>
      </w:r>
      <w:r w:rsidR="00850B21">
        <w:rPr>
          <w:rFonts w:ascii="Arial Narrow" w:hAnsi="Arial Narrow"/>
          <w:b/>
          <w:sz w:val="24"/>
          <w:szCs w:val="24"/>
        </w:rPr>
        <w:t xml:space="preserve"> y trastornos </w:t>
      </w:r>
      <w:r w:rsidRPr="0026449A">
        <w:rPr>
          <w:rFonts w:ascii="Arial Narrow" w:hAnsi="Arial Narrow"/>
          <w:b/>
          <w:sz w:val="24"/>
          <w:szCs w:val="24"/>
        </w:rPr>
        <w:t>metabólic</w:t>
      </w:r>
      <w:r w:rsidR="00850B21">
        <w:rPr>
          <w:rFonts w:ascii="Arial Narrow" w:hAnsi="Arial Narrow"/>
          <w:b/>
          <w:sz w:val="24"/>
          <w:szCs w:val="24"/>
        </w:rPr>
        <w:t>os;</w:t>
      </w:r>
    </w:p>
    <w:p w14:paraId="38E5F02E" w14:textId="22891C4B" w:rsidR="0026449A" w:rsidRDefault="0026449A" w:rsidP="003604DC">
      <w:pPr>
        <w:widowControl/>
        <w:spacing w:after="160" w:line="360" w:lineRule="auto"/>
        <w:jc w:val="both"/>
        <w:rPr>
          <w:rFonts w:ascii="Arial Narrow" w:hAnsi="Arial Narrow"/>
          <w:b/>
          <w:sz w:val="24"/>
          <w:szCs w:val="24"/>
        </w:rPr>
      </w:pPr>
      <w:r w:rsidRPr="0026449A">
        <w:rPr>
          <w:rFonts w:ascii="Arial Narrow" w:hAnsi="Arial Narrow"/>
          <w:b/>
          <w:sz w:val="24"/>
          <w:szCs w:val="24"/>
        </w:rPr>
        <w:t xml:space="preserve">V. </w:t>
      </w:r>
      <w:r w:rsidR="00850B21">
        <w:rPr>
          <w:rFonts w:ascii="Arial Narrow" w:hAnsi="Arial Narrow"/>
          <w:b/>
          <w:sz w:val="24"/>
          <w:szCs w:val="24"/>
        </w:rPr>
        <w:t>S</w:t>
      </w:r>
      <w:r w:rsidRPr="0026449A">
        <w:rPr>
          <w:rFonts w:ascii="Arial Narrow" w:hAnsi="Arial Narrow"/>
          <w:b/>
          <w:sz w:val="24"/>
          <w:szCs w:val="24"/>
        </w:rPr>
        <w:t>eguimiento clínico oportuno</w:t>
      </w:r>
      <w:r w:rsidR="00850B21">
        <w:rPr>
          <w:rFonts w:ascii="Arial Narrow" w:hAnsi="Arial Narrow"/>
          <w:b/>
          <w:sz w:val="24"/>
          <w:szCs w:val="24"/>
        </w:rPr>
        <w:t xml:space="preserve"> y continuo</w:t>
      </w:r>
      <w:r w:rsidR="00447A6C" w:rsidRPr="00F56D6A">
        <w:rPr>
          <w:rFonts w:ascii="Arial Narrow" w:hAnsi="Arial Narrow"/>
          <w:b/>
          <w:color w:val="000000" w:themeColor="text1"/>
          <w:sz w:val="24"/>
          <w:szCs w:val="24"/>
        </w:rPr>
        <w:t>, así como la detección oportuna de enfermedades</w:t>
      </w:r>
      <w:r w:rsidR="00C77303">
        <w:rPr>
          <w:rFonts w:ascii="Arial Narrow" w:hAnsi="Arial Narrow"/>
          <w:b/>
          <w:sz w:val="24"/>
          <w:szCs w:val="24"/>
        </w:rPr>
        <w:t>;</w:t>
      </w:r>
    </w:p>
    <w:p w14:paraId="4B3CCB2C" w14:textId="690465A3" w:rsidR="00850B21" w:rsidRDefault="00850B21" w:rsidP="003604DC">
      <w:pPr>
        <w:widowControl/>
        <w:spacing w:after="160" w:line="360" w:lineRule="auto"/>
        <w:jc w:val="both"/>
        <w:rPr>
          <w:rFonts w:ascii="Arial Narrow" w:hAnsi="Arial Narrow"/>
          <w:b/>
          <w:sz w:val="24"/>
          <w:szCs w:val="24"/>
        </w:rPr>
      </w:pPr>
      <w:r>
        <w:rPr>
          <w:rFonts w:ascii="Arial Narrow" w:hAnsi="Arial Narrow"/>
          <w:b/>
          <w:sz w:val="24"/>
          <w:szCs w:val="24"/>
        </w:rPr>
        <w:t>VI. Acciones de información y sensibilización dirigidas a pacientes, familiares y población en general</w:t>
      </w:r>
      <w:r w:rsidR="00C77303">
        <w:rPr>
          <w:rFonts w:ascii="Arial Narrow" w:hAnsi="Arial Narrow"/>
          <w:b/>
          <w:sz w:val="24"/>
          <w:szCs w:val="24"/>
        </w:rPr>
        <w:t>;</w:t>
      </w:r>
    </w:p>
    <w:p w14:paraId="4A8C04F4" w14:textId="7D5BCA49" w:rsidR="00130B47" w:rsidRPr="00F56D6A" w:rsidRDefault="00130B47" w:rsidP="003604DC">
      <w:pPr>
        <w:widowControl/>
        <w:spacing w:after="160" w:line="360" w:lineRule="auto"/>
        <w:jc w:val="both"/>
        <w:rPr>
          <w:rFonts w:ascii="Arial Narrow" w:hAnsi="Arial Narrow"/>
          <w:b/>
          <w:color w:val="000000" w:themeColor="text1"/>
          <w:sz w:val="24"/>
          <w:szCs w:val="24"/>
        </w:rPr>
      </w:pPr>
      <w:r w:rsidRPr="00F56D6A">
        <w:rPr>
          <w:rFonts w:ascii="Arial Narrow" w:hAnsi="Arial Narrow"/>
          <w:b/>
          <w:color w:val="000000" w:themeColor="text1"/>
          <w:sz w:val="24"/>
          <w:szCs w:val="24"/>
        </w:rPr>
        <w:t>VII. La detección oportuna de factores de riesgo asociados a osteoporosis, enfermedades cardiovasculares, diabetes mellitus, obesidad, trastornos metabólicos y alteraciones de la salud mental</w:t>
      </w:r>
      <w:r w:rsidR="00C77303" w:rsidRPr="00F56D6A">
        <w:rPr>
          <w:rFonts w:ascii="Arial Narrow" w:hAnsi="Arial Narrow"/>
          <w:b/>
          <w:color w:val="000000" w:themeColor="text1"/>
          <w:sz w:val="24"/>
          <w:szCs w:val="24"/>
        </w:rPr>
        <w:t>, y</w:t>
      </w:r>
    </w:p>
    <w:p w14:paraId="6503D07B" w14:textId="31309932" w:rsidR="00C77303" w:rsidRPr="00F56D6A" w:rsidRDefault="00C77303" w:rsidP="003604DC">
      <w:pPr>
        <w:widowControl/>
        <w:spacing w:after="160" w:line="360" w:lineRule="auto"/>
        <w:jc w:val="both"/>
        <w:rPr>
          <w:rFonts w:ascii="Arial Narrow" w:hAnsi="Arial Narrow"/>
          <w:b/>
          <w:color w:val="000000" w:themeColor="text1"/>
          <w:sz w:val="24"/>
          <w:szCs w:val="24"/>
        </w:rPr>
      </w:pPr>
      <w:r w:rsidRPr="00F56D6A">
        <w:rPr>
          <w:rFonts w:ascii="Arial Narrow" w:hAnsi="Arial Narrow"/>
          <w:b/>
          <w:color w:val="000000" w:themeColor="text1"/>
          <w:sz w:val="24"/>
          <w:szCs w:val="24"/>
        </w:rPr>
        <w:t>VIII. La promoción de hábitos saludables relacionados con la nutrición, actividad física y salud sexual.</w:t>
      </w:r>
    </w:p>
    <w:p w14:paraId="683BDC31" w14:textId="435F2929" w:rsidR="0026449A" w:rsidRPr="0026449A" w:rsidRDefault="0026449A" w:rsidP="003604DC">
      <w:pPr>
        <w:widowControl/>
        <w:tabs>
          <w:tab w:val="center" w:pos="2099"/>
        </w:tabs>
        <w:spacing w:after="160" w:line="360" w:lineRule="auto"/>
        <w:jc w:val="both"/>
        <w:rPr>
          <w:rFonts w:ascii="Arial Narrow" w:hAnsi="Arial Narrow"/>
          <w:b/>
          <w:sz w:val="24"/>
          <w:szCs w:val="24"/>
        </w:rPr>
      </w:pPr>
      <w:r w:rsidRPr="0026449A">
        <w:rPr>
          <w:rFonts w:ascii="Arial Narrow" w:hAnsi="Arial Narrow"/>
          <w:b/>
          <w:sz w:val="24"/>
          <w:szCs w:val="24"/>
        </w:rPr>
        <w:t>Artículo 76 QU</w:t>
      </w:r>
      <w:r w:rsidR="00850B21">
        <w:rPr>
          <w:rFonts w:ascii="Arial Narrow" w:hAnsi="Arial Narrow"/>
          <w:b/>
          <w:sz w:val="24"/>
          <w:szCs w:val="24"/>
        </w:rPr>
        <w:t>Á</w:t>
      </w:r>
      <w:r w:rsidRPr="0026449A">
        <w:rPr>
          <w:rFonts w:ascii="Arial Narrow" w:hAnsi="Arial Narrow"/>
          <w:b/>
          <w:sz w:val="24"/>
          <w:szCs w:val="24"/>
        </w:rPr>
        <w:t xml:space="preserve">TER. Las instituciones públicas </w:t>
      </w:r>
      <w:r w:rsidR="00850B21">
        <w:rPr>
          <w:rFonts w:ascii="Arial Narrow" w:hAnsi="Arial Narrow"/>
          <w:b/>
          <w:sz w:val="24"/>
          <w:szCs w:val="24"/>
        </w:rPr>
        <w:t>que integran el</w:t>
      </w:r>
      <w:r w:rsidRPr="0026449A">
        <w:rPr>
          <w:rFonts w:ascii="Arial Narrow" w:hAnsi="Arial Narrow"/>
          <w:b/>
          <w:sz w:val="24"/>
          <w:szCs w:val="24"/>
        </w:rPr>
        <w:t xml:space="preserve"> Sistema Estatal de Salud deberán:</w:t>
      </w:r>
    </w:p>
    <w:p w14:paraId="5B7B2894" w14:textId="74FBA10C" w:rsidR="0026449A" w:rsidRPr="0026449A" w:rsidRDefault="0026449A" w:rsidP="003604DC">
      <w:pPr>
        <w:widowControl/>
        <w:tabs>
          <w:tab w:val="center" w:pos="2099"/>
        </w:tabs>
        <w:spacing w:after="160" w:line="360" w:lineRule="auto"/>
        <w:jc w:val="both"/>
        <w:rPr>
          <w:rFonts w:ascii="Arial Narrow" w:hAnsi="Arial Narrow"/>
          <w:b/>
          <w:sz w:val="24"/>
          <w:szCs w:val="24"/>
        </w:rPr>
      </w:pPr>
      <w:r w:rsidRPr="0026449A">
        <w:rPr>
          <w:rFonts w:ascii="Arial Narrow" w:hAnsi="Arial Narrow"/>
          <w:b/>
          <w:sz w:val="24"/>
          <w:szCs w:val="24"/>
        </w:rPr>
        <w:t xml:space="preserve">I. </w:t>
      </w:r>
      <w:r w:rsidR="00850B21" w:rsidRPr="00850B21">
        <w:rPr>
          <w:rFonts w:ascii="Arial Narrow" w:hAnsi="Arial Narrow"/>
          <w:b/>
          <w:sz w:val="24"/>
          <w:szCs w:val="24"/>
        </w:rPr>
        <w:t>Capacitar de manera permanente al personal médico, de enfermería y demás profesionales de la salud en materia de climaterio, menopausia y andropausia;</w:t>
      </w:r>
    </w:p>
    <w:p w14:paraId="1ED09B5F" w14:textId="04BC54E8" w:rsidR="0026449A" w:rsidRPr="0026449A" w:rsidRDefault="0026449A" w:rsidP="003604DC">
      <w:pPr>
        <w:widowControl/>
        <w:tabs>
          <w:tab w:val="center" w:pos="2099"/>
        </w:tabs>
        <w:spacing w:after="160" w:line="360" w:lineRule="auto"/>
        <w:jc w:val="both"/>
        <w:rPr>
          <w:rFonts w:ascii="Arial Narrow" w:hAnsi="Arial Narrow"/>
          <w:b/>
          <w:sz w:val="24"/>
          <w:szCs w:val="24"/>
        </w:rPr>
      </w:pPr>
      <w:r w:rsidRPr="0026449A">
        <w:rPr>
          <w:rFonts w:ascii="Arial Narrow" w:hAnsi="Arial Narrow"/>
          <w:b/>
          <w:sz w:val="24"/>
          <w:szCs w:val="24"/>
        </w:rPr>
        <w:t xml:space="preserve">II. </w:t>
      </w:r>
      <w:r w:rsidR="00850B21" w:rsidRPr="00850B21">
        <w:rPr>
          <w:rFonts w:ascii="Arial Narrow" w:hAnsi="Arial Narrow"/>
          <w:b/>
          <w:sz w:val="24"/>
          <w:szCs w:val="24"/>
        </w:rPr>
        <w:t>Aplicar guías clínicas, protocolos y criterios médicos actualizados para la atención integral de estas etapas;</w:t>
      </w:r>
    </w:p>
    <w:p w14:paraId="43E54AAD" w14:textId="7CAB9573" w:rsidR="0026449A" w:rsidRDefault="0026449A" w:rsidP="003604DC">
      <w:pPr>
        <w:widowControl/>
        <w:tabs>
          <w:tab w:val="center" w:pos="2099"/>
        </w:tabs>
        <w:spacing w:after="160" w:line="360" w:lineRule="auto"/>
        <w:jc w:val="both"/>
        <w:rPr>
          <w:rFonts w:ascii="Arial Narrow" w:hAnsi="Arial Narrow"/>
          <w:b/>
          <w:sz w:val="24"/>
          <w:szCs w:val="24"/>
        </w:rPr>
      </w:pPr>
      <w:r w:rsidRPr="0026449A">
        <w:rPr>
          <w:rFonts w:ascii="Arial Narrow" w:hAnsi="Arial Narrow"/>
          <w:b/>
          <w:sz w:val="24"/>
          <w:szCs w:val="24"/>
        </w:rPr>
        <w:t xml:space="preserve">III. </w:t>
      </w:r>
      <w:r w:rsidR="00850B21" w:rsidRPr="00850B21">
        <w:rPr>
          <w:rFonts w:ascii="Arial Narrow" w:hAnsi="Arial Narrow"/>
          <w:b/>
          <w:sz w:val="24"/>
          <w:szCs w:val="24"/>
        </w:rPr>
        <w:t>Promover un trato digno, libre de discriminación, prejuicios o minimización de síntomas</w:t>
      </w:r>
      <w:r w:rsidR="00FD1414">
        <w:rPr>
          <w:rFonts w:ascii="Arial Narrow" w:hAnsi="Arial Narrow"/>
          <w:b/>
          <w:sz w:val="24"/>
          <w:szCs w:val="24"/>
        </w:rPr>
        <w:t>;</w:t>
      </w:r>
    </w:p>
    <w:p w14:paraId="707FF6B8" w14:textId="1FDC8AE3" w:rsidR="00850B21" w:rsidRDefault="00850B21" w:rsidP="003604DC">
      <w:pPr>
        <w:widowControl/>
        <w:tabs>
          <w:tab w:val="center" w:pos="2099"/>
        </w:tabs>
        <w:spacing w:after="160" w:line="360" w:lineRule="auto"/>
        <w:jc w:val="both"/>
        <w:rPr>
          <w:rFonts w:ascii="Arial Narrow" w:hAnsi="Arial Narrow"/>
          <w:b/>
          <w:sz w:val="24"/>
          <w:szCs w:val="24"/>
        </w:rPr>
      </w:pPr>
      <w:r>
        <w:rPr>
          <w:rFonts w:ascii="Arial Narrow" w:hAnsi="Arial Narrow"/>
          <w:b/>
          <w:sz w:val="24"/>
          <w:szCs w:val="24"/>
        </w:rPr>
        <w:t xml:space="preserve">IV. </w:t>
      </w:r>
      <w:r w:rsidRPr="00850B21">
        <w:rPr>
          <w:rFonts w:ascii="Arial Narrow" w:hAnsi="Arial Narrow"/>
          <w:b/>
          <w:sz w:val="24"/>
          <w:szCs w:val="24"/>
        </w:rPr>
        <w:t>Fomentar acciones de prevención, orientación y detección oportuna en los servicios de salud</w:t>
      </w:r>
      <w:r w:rsidR="00FD1414">
        <w:rPr>
          <w:rFonts w:ascii="Arial Narrow" w:hAnsi="Arial Narrow"/>
          <w:b/>
          <w:sz w:val="24"/>
          <w:szCs w:val="24"/>
        </w:rPr>
        <w:t>,</w:t>
      </w:r>
      <w:r w:rsidR="00FD1414" w:rsidRPr="00F56D6A">
        <w:rPr>
          <w:rFonts w:ascii="Arial Narrow" w:hAnsi="Arial Narrow"/>
          <w:b/>
          <w:color w:val="000000" w:themeColor="text1"/>
          <w:sz w:val="24"/>
          <w:szCs w:val="24"/>
        </w:rPr>
        <w:t xml:space="preserve"> y</w:t>
      </w:r>
    </w:p>
    <w:p w14:paraId="64C52D1A" w14:textId="28623D93" w:rsidR="00FD1414" w:rsidRPr="00F56D6A" w:rsidRDefault="00FD1414" w:rsidP="003604DC">
      <w:pPr>
        <w:widowControl/>
        <w:tabs>
          <w:tab w:val="center" w:pos="2099"/>
        </w:tabs>
        <w:spacing w:after="160" w:line="360" w:lineRule="auto"/>
        <w:jc w:val="both"/>
        <w:rPr>
          <w:rFonts w:ascii="Arial Narrow" w:hAnsi="Arial Narrow"/>
          <w:b/>
          <w:color w:val="000000" w:themeColor="text1"/>
          <w:sz w:val="24"/>
          <w:szCs w:val="24"/>
        </w:rPr>
      </w:pPr>
      <w:r w:rsidRPr="00F56D6A">
        <w:rPr>
          <w:rFonts w:ascii="Arial Narrow" w:hAnsi="Arial Narrow"/>
          <w:b/>
          <w:color w:val="000000" w:themeColor="text1"/>
          <w:sz w:val="24"/>
          <w:szCs w:val="24"/>
        </w:rPr>
        <w:t>V. Garantizar que la información y orientación en materia de climaterio y menopausia pueda proporcionarse, cuando sea necesario, en lengua maya y con pertinencia cultural para las comunidades indígenas del Estado.</w:t>
      </w:r>
    </w:p>
    <w:p w14:paraId="4E6EAD68" w14:textId="15FED019" w:rsidR="0026449A" w:rsidRDefault="0026449A" w:rsidP="003604DC">
      <w:pPr>
        <w:widowControl/>
        <w:spacing w:after="160" w:line="360" w:lineRule="auto"/>
        <w:jc w:val="both"/>
        <w:rPr>
          <w:rFonts w:ascii="Arial Narrow" w:hAnsi="Arial Narrow"/>
          <w:b/>
          <w:sz w:val="24"/>
          <w:szCs w:val="24"/>
        </w:rPr>
      </w:pPr>
      <w:r w:rsidRPr="0026449A">
        <w:rPr>
          <w:rFonts w:ascii="Arial Narrow" w:hAnsi="Arial Narrow"/>
          <w:b/>
          <w:sz w:val="24"/>
          <w:szCs w:val="24"/>
        </w:rPr>
        <w:t xml:space="preserve">Artículo 76 QUINTIES. </w:t>
      </w:r>
      <w:r w:rsidR="0006023E" w:rsidRPr="0006023E">
        <w:rPr>
          <w:rFonts w:ascii="Arial Narrow" w:hAnsi="Arial Narrow"/>
          <w:b/>
          <w:sz w:val="24"/>
          <w:szCs w:val="24"/>
        </w:rPr>
        <w:t>La Secretaría de Salud del Estado deberá implementar de manera permanente campañas de información, sensibilización y educación dirigidas a la población</w:t>
      </w:r>
      <w:r w:rsidR="0006023E">
        <w:rPr>
          <w:rFonts w:ascii="Arial Narrow" w:hAnsi="Arial Narrow"/>
          <w:b/>
          <w:sz w:val="24"/>
          <w:szCs w:val="24"/>
        </w:rPr>
        <w:t xml:space="preserve"> </w:t>
      </w:r>
      <w:r w:rsidRPr="0026449A">
        <w:rPr>
          <w:rFonts w:ascii="Arial Narrow" w:hAnsi="Arial Narrow"/>
          <w:b/>
          <w:sz w:val="24"/>
          <w:szCs w:val="24"/>
        </w:rPr>
        <w:t xml:space="preserve">para visibilizar estas etapas de la vida, promover el autocuidado </w:t>
      </w:r>
      <w:r w:rsidR="0006023E">
        <w:rPr>
          <w:rFonts w:ascii="Arial Narrow" w:hAnsi="Arial Narrow"/>
          <w:b/>
          <w:sz w:val="24"/>
          <w:szCs w:val="24"/>
        </w:rPr>
        <w:t>y</w:t>
      </w:r>
      <w:r w:rsidRPr="0026449A">
        <w:rPr>
          <w:rFonts w:ascii="Arial Narrow" w:hAnsi="Arial Narrow"/>
          <w:b/>
          <w:sz w:val="24"/>
          <w:szCs w:val="24"/>
        </w:rPr>
        <w:t xml:space="preserve"> eliminar estigmas sociales.</w:t>
      </w:r>
    </w:p>
    <w:p w14:paraId="3FD36463" w14:textId="5D02DE13" w:rsidR="00AF030B" w:rsidRPr="0026449A" w:rsidRDefault="00AF030B" w:rsidP="003604DC">
      <w:pPr>
        <w:widowControl/>
        <w:spacing w:after="160" w:line="360" w:lineRule="auto"/>
        <w:jc w:val="both"/>
        <w:rPr>
          <w:rFonts w:ascii="Arial Narrow" w:hAnsi="Arial Narrow"/>
          <w:b/>
          <w:sz w:val="24"/>
          <w:szCs w:val="24"/>
        </w:rPr>
      </w:pPr>
      <w:r w:rsidRPr="00AF030B">
        <w:rPr>
          <w:rFonts w:ascii="Arial Narrow" w:hAnsi="Arial Narrow"/>
          <w:b/>
          <w:sz w:val="24"/>
          <w:szCs w:val="24"/>
        </w:rPr>
        <w:t>Las campañas deberán contemplar, al menos, información sobre los cambios físicos y emocionales asociados a estas etapas, la prevención de estigmas y discriminación, el acceso oportuno a los servicios de salud y la corresponsabilidad familiar y social en el acompañamiento de las personas.</w:t>
      </w:r>
    </w:p>
    <w:p w14:paraId="45BDD438" w14:textId="77777777" w:rsidR="0006023E" w:rsidRDefault="0026449A" w:rsidP="003604DC">
      <w:pPr>
        <w:widowControl/>
        <w:spacing w:after="160" w:line="360" w:lineRule="auto"/>
        <w:jc w:val="both"/>
        <w:rPr>
          <w:rFonts w:ascii="Arial Narrow" w:hAnsi="Arial Narrow"/>
          <w:b/>
          <w:sz w:val="24"/>
          <w:szCs w:val="24"/>
        </w:rPr>
      </w:pPr>
      <w:r w:rsidRPr="0026449A">
        <w:rPr>
          <w:rFonts w:ascii="Arial Narrow" w:hAnsi="Arial Narrow"/>
          <w:b/>
          <w:sz w:val="24"/>
          <w:szCs w:val="24"/>
        </w:rPr>
        <w:t xml:space="preserve">Artículo 76 SEXTIES. </w:t>
      </w:r>
      <w:r w:rsidR="0006023E" w:rsidRPr="0006023E">
        <w:rPr>
          <w:rFonts w:ascii="Arial Narrow" w:hAnsi="Arial Narrow"/>
          <w:b/>
          <w:sz w:val="24"/>
          <w:szCs w:val="24"/>
        </w:rPr>
        <w:t>La prestación de los servicios previstos en el presente Capítulo se realizará bajo los principios de perspectiva de género, igualdad sustantiva, enfoque de derechos humanos, no discriminación y pertinencia cultural, especialmente en comunidades indígenas y zonas de atención prioritaria.</w:t>
      </w:r>
    </w:p>
    <w:p w14:paraId="6D47C3FB" w14:textId="153685C6" w:rsidR="0006023E" w:rsidRDefault="0026449A" w:rsidP="003604DC">
      <w:pPr>
        <w:widowControl/>
        <w:spacing w:after="160" w:line="360" w:lineRule="auto"/>
        <w:jc w:val="both"/>
        <w:rPr>
          <w:rFonts w:ascii="Arial Narrow" w:hAnsi="Arial Narrow"/>
          <w:b/>
          <w:sz w:val="24"/>
          <w:szCs w:val="24"/>
        </w:rPr>
      </w:pPr>
      <w:r w:rsidRPr="0026449A">
        <w:rPr>
          <w:rFonts w:ascii="Arial Narrow" w:hAnsi="Arial Narrow"/>
          <w:b/>
          <w:sz w:val="24"/>
          <w:szCs w:val="24"/>
        </w:rPr>
        <w:t xml:space="preserve">Artículo 76 SEPTIES. </w:t>
      </w:r>
      <w:r w:rsidR="0006023E" w:rsidRPr="0006023E">
        <w:rPr>
          <w:rFonts w:ascii="Arial Narrow" w:hAnsi="Arial Narrow"/>
          <w:b/>
          <w:sz w:val="24"/>
          <w:szCs w:val="24"/>
        </w:rPr>
        <w:t>El Estado promoverá la investigación científica, la recopilación de información estadística y la generación de datos en materia de salud durante el climaterio, la menopausia y la andropausia, con la finalidad de fortalecer el diseño, implementación y evaluación de políticas públicas en la materia.</w:t>
      </w:r>
    </w:p>
    <w:p w14:paraId="6CC77599" w14:textId="43EC73DB" w:rsidR="00FD1414" w:rsidRPr="005652F0" w:rsidRDefault="00FD1414" w:rsidP="003604DC">
      <w:pPr>
        <w:widowControl/>
        <w:spacing w:after="160" w:line="360" w:lineRule="auto"/>
        <w:jc w:val="both"/>
        <w:rPr>
          <w:rFonts w:ascii="Arial Narrow" w:hAnsi="Arial Narrow"/>
          <w:b/>
          <w:color w:val="000000" w:themeColor="text1"/>
          <w:sz w:val="24"/>
          <w:szCs w:val="24"/>
        </w:rPr>
      </w:pPr>
      <w:r w:rsidRPr="005652F0">
        <w:rPr>
          <w:rFonts w:ascii="Arial Narrow" w:hAnsi="Arial Narrow"/>
          <w:b/>
          <w:color w:val="000000" w:themeColor="text1"/>
          <w:sz w:val="24"/>
          <w:szCs w:val="24"/>
        </w:rPr>
        <w:t>La información deberá generarse de manera desagregada por sexo, edad, municipio, condición indígena y demás variables que permitan identificar brechas de atención.</w:t>
      </w:r>
    </w:p>
    <w:p w14:paraId="3170A37B" w14:textId="5D0DB640" w:rsidR="00EC6FEF" w:rsidRPr="00601196" w:rsidRDefault="00EC6FEF" w:rsidP="003604DC">
      <w:pPr>
        <w:widowControl/>
        <w:spacing w:after="160" w:line="360" w:lineRule="auto"/>
        <w:jc w:val="both"/>
        <w:rPr>
          <w:rFonts w:ascii="Arial Narrow" w:hAnsi="Arial Narrow"/>
          <w:b/>
          <w:color w:val="000000" w:themeColor="text1"/>
          <w:sz w:val="24"/>
          <w:szCs w:val="24"/>
        </w:rPr>
      </w:pPr>
      <w:r w:rsidRPr="00F54388">
        <w:rPr>
          <w:rFonts w:ascii="Arial Narrow" w:hAnsi="Arial Narrow"/>
          <w:b/>
          <w:color w:val="000000" w:themeColor="text1"/>
          <w:sz w:val="24"/>
          <w:szCs w:val="24"/>
        </w:rPr>
        <w:t xml:space="preserve">Artículo 76 OCTIES. </w:t>
      </w:r>
      <w:r w:rsidR="00E33D86" w:rsidRPr="00F54388">
        <w:rPr>
          <w:rFonts w:ascii="Arial Narrow" w:hAnsi="Arial Narrow"/>
          <w:b/>
          <w:color w:val="000000" w:themeColor="text1"/>
          <w:sz w:val="24"/>
          <w:szCs w:val="24"/>
        </w:rPr>
        <w:t xml:space="preserve"> La Secretaría de Salud podrá celebrar convenios de colaboración con dependencias públicas, organismos empresariales, instituciones educativas y organizaciones de la sociedad civil para promover entornos laborales saludables y libres de discriminación relacionados con el climaterio, la menopausia y la andropausia.</w:t>
      </w:r>
    </w:p>
    <w:p w14:paraId="6AF7C3CF" w14:textId="310091C2" w:rsidR="009D0150" w:rsidRPr="00603CC5" w:rsidRDefault="009D0150" w:rsidP="003604DC">
      <w:pPr>
        <w:widowControl/>
        <w:spacing w:after="160" w:line="360" w:lineRule="auto"/>
        <w:jc w:val="center"/>
        <w:rPr>
          <w:rFonts w:ascii="Arial Narrow" w:hAnsi="Arial Narrow"/>
          <w:b/>
          <w:bCs/>
          <w:sz w:val="24"/>
          <w:szCs w:val="24"/>
        </w:rPr>
      </w:pPr>
      <w:r w:rsidRPr="00603CC5">
        <w:rPr>
          <w:rFonts w:ascii="Arial Narrow" w:hAnsi="Arial Narrow"/>
          <w:b/>
          <w:bCs/>
          <w:sz w:val="24"/>
          <w:szCs w:val="24"/>
        </w:rPr>
        <w:t>ARTÍCULOS TRANSITORIOS</w:t>
      </w:r>
    </w:p>
    <w:p w14:paraId="3E1FD6A2" w14:textId="77777777" w:rsidR="009D0150" w:rsidRPr="00603CC5" w:rsidRDefault="009D0150" w:rsidP="003604DC">
      <w:pPr>
        <w:spacing w:before="180" w:after="160" w:line="360" w:lineRule="auto"/>
        <w:jc w:val="both"/>
        <w:rPr>
          <w:rFonts w:ascii="Arial Narrow" w:hAnsi="Arial Narrow"/>
          <w:b/>
          <w:bCs/>
          <w:sz w:val="24"/>
          <w:szCs w:val="24"/>
        </w:rPr>
      </w:pPr>
      <w:r w:rsidRPr="00603CC5">
        <w:rPr>
          <w:rFonts w:ascii="Arial Narrow" w:hAnsi="Arial Narrow"/>
          <w:b/>
          <w:bCs/>
          <w:sz w:val="24"/>
          <w:szCs w:val="24"/>
        </w:rPr>
        <w:t>PRIMERO. Entrada en vigor</w:t>
      </w:r>
    </w:p>
    <w:p w14:paraId="6679D732" w14:textId="77777777" w:rsidR="009D0150" w:rsidRPr="00603CC5" w:rsidRDefault="009D0150" w:rsidP="003604DC">
      <w:pPr>
        <w:spacing w:before="180" w:after="160" w:line="360" w:lineRule="auto"/>
        <w:jc w:val="both"/>
        <w:rPr>
          <w:rFonts w:ascii="Arial Narrow" w:hAnsi="Arial Narrow"/>
          <w:sz w:val="24"/>
          <w:szCs w:val="24"/>
        </w:rPr>
      </w:pPr>
      <w:r w:rsidRPr="00603CC5">
        <w:rPr>
          <w:rFonts w:ascii="Arial Narrow" w:hAnsi="Arial Narrow"/>
          <w:sz w:val="24"/>
          <w:szCs w:val="24"/>
        </w:rPr>
        <w:t>Las disposiciones de este decreto entrarán en vigor al día siguiente de su publicación en el Diario Oficial del Gobierno del Estado de Yucatán.</w:t>
      </w:r>
    </w:p>
    <w:p w14:paraId="6B418AE7" w14:textId="77777777" w:rsidR="009D0150" w:rsidRPr="00603CC5" w:rsidRDefault="009D0150" w:rsidP="003604DC">
      <w:pPr>
        <w:spacing w:before="180" w:after="160" w:line="360" w:lineRule="auto"/>
        <w:jc w:val="both"/>
        <w:rPr>
          <w:rFonts w:ascii="Arial Narrow" w:hAnsi="Arial Narrow"/>
          <w:b/>
          <w:bCs/>
          <w:sz w:val="24"/>
          <w:szCs w:val="24"/>
        </w:rPr>
      </w:pPr>
      <w:r w:rsidRPr="00603CC5">
        <w:rPr>
          <w:rFonts w:ascii="Arial Narrow" w:hAnsi="Arial Narrow"/>
          <w:b/>
          <w:bCs/>
          <w:sz w:val="24"/>
          <w:szCs w:val="24"/>
        </w:rPr>
        <w:t>SEGUNDO. Derogación expresa</w:t>
      </w:r>
    </w:p>
    <w:p w14:paraId="4C7AB5C8" w14:textId="77777777" w:rsidR="009D0150" w:rsidRDefault="009D0150" w:rsidP="003604DC">
      <w:pPr>
        <w:spacing w:before="180" w:after="160" w:line="360" w:lineRule="auto"/>
        <w:jc w:val="both"/>
        <w:rPr>
          <w:rFonts w:ascii="Arial Narrow" w:hAnsi="Arial Narrow"/>
          <w:sz w:val="24"/>
          <w:szCs w:val="24"/>
        </w:rPr>
      </w:pPr>
      <w:r w:rsidRPr="00603CC5">
        <w:rPr>
          <w:rFonts w:ascii="Arial Narrow" w:hAnsi="Arial Narrow"/>
          <w:sz w:val="24"/>
          <w:szCs w:val="24"/>
        </w:rPr>
        <w:t xml:space="preserve">Se derogan todas las disposiciones de igual o menor rango que se opongan a lo establecido en este decreto. </w:t>
      </w:r>
    </w:p>
    <w:p w14:paraId="5ED514B2" w14:textId="52968285" w:rsidR="0006023E" w:rsidRPr="005652F0" w:rsidRDefault="0006023E" w:rsidP="003604DC">
      <w:pPr>
        <w:spacing w:before="180" w:after="160" w:line="360" w:lineRule="auto"/>
        <w:jc w:val="both"/>
        <w:rPr>
          <w:rFonts w:ascii="Arial Narrow" w:hAnsi="Arial Narrow"/>
          <w:color w:val="000000" w:themeColor="text1"/>
          <w:sz w:val="24"/>
          <w:szCs w:val="24"/>
        </w:rPr>
      </w:pPr>
      <w:r w:rsidRPr="0006023E">
        <w:rPr>
          <w:rFonts w:ascii="Arial Narrow" w:hAnsi="Arial Narrow"/>
          <w:b/>
          <w:bCs/>
          <w:sz w:val="24"/>
          <w:szCs w:val="24"/>
        </w:rPr>
        <w:t>TERCERO.</w:t>
      </w:r>
      <w:r w:rsidR="00C1786B">
        <w:rPr>
          <w:rFonts w:ascii="Arial Narrow" w:hAnsi="Arial Narrow"/>
          <w:b/>
          <w:bCs/>
          <w:sz w:val="24"/>
          <w:szCs w:val="24"/>
        </w:rPr>
        <w:t xml:space="preserve"> </w:t>
      </w:r>
      <w:r w:rsidR="00C1786B" w:rsidRPr="005652F0">
        <w:rPr>
          <w:rFonts w:ascii="Arial Narrow" w:hAnsi="Arial Narrow"/>
          <w:color w:val="000000" w:themeColor="text1"/>
          <w:sz w:val="24"/>
          <w:szCs w:val="24"/>
        </w:rPr>
        <w:t>La Secretaría de Salud del Estado deberá emitir o actualizar los lineamientos, protocolos y criterios técnicos necesarios para la implementación del presente Decreto dentro de los ciento ochenta días naturales siguientes a su entrada en vigor</w:t>
      </w:r>
      <w:r w:rsidRPr="005652F0">
        <w:rPr>
          <w:rFonts w:ascii="Arial Narrow" w:hAnsi="Arial Narrow"/>
          <w:color w:val="000000" w:themeColor="text1"/>
          <w:sz w:val="24"/>
          <w:szCs w:val="24"/>
        </w:rPr>
        <w:t>, por lo que no se autoriza</w:t>
      </w:r>
      <w:r w:rsidR="006E4483" w:rsidRPr="005652F0">
        <w:rPr>
          <w:rFonts w:ascii="Arial Narrow" w:hAnsi="Arial Narrow"/>
          <w:color w:val="000000" w:themeColor="text1"/>
          <w:sz w:val="24"/>
          <w:szCs w:val="24"/>
        </w:rPr>
        <w:t xml:space="preserve">rá la suficiencia presupuestaria para el </w:t>
      </w:r>
      <w:r w:rsidRPr="005652F0">
        <w:rPr>
          <w:rFonts w:ascii="Arial Narrow" w:hAnsi="Arial Narrow"/>
          <w:color w:val="000000" w:themeColor="text1"/>
          <w:sz w:val="24"/>
          <w:szCs w:val="24"/>
        </w:rPr>
        <w:t>ejercicio fiscal</w:t>
      </w:r>
      <w:r w:rsidR="006E4483" w:rsidRPr="005652F0">
        <w:rPr>
          <w:rFonts w:ascii="Arial Narrow" w:hAnsi="Arial Narrow"/>
          <w:color w:val="000000" w:themeColor="text1"/>
          <w:sz w:val="24"/>
          <w:szCs w:val="24"/>
        </w:rPr>
        <w:t xml:space="preserve"> inmediato</w:t>
      </w:r>
      <w:r w:rsidRPr="005652F0">
        <w:rPr>
          <w:rFonts w:ascii="Arial Narrow" w:hAnsi="Arial Narrow"/>
          <w:color w:val="000000" w:themeColor="text1"/>
          <w:sz w:val="24"/>
          <w:szCs w:val="24"/>
        </w:rPr>
        <w:t>.</w:t>
      </w:r>
    </w:p>
    <w:p w14:paraId="721598AD" w14:textId="418F2679" w:rsidR="00601196" w:rsidRDefault="009D0150" w:rsidP="003604DC">
      <w:pPr>
        <w:spacing w:before="180" w:after="160" w:line="360" w:lineRule="auto"/>
        <w:jc w:val="both"/>
        <w:rPr>
          <w:rFonts w:ascii="Arial Narrow" w:hAnsi="Arial Narrow"/>
          <w:b/>
          <w:bCs/>
          <w:sz w:val="24"/>
          <w:szCs w:val="24"/>
        </w:rPr>
      </w:pPr>
      <w:r w:rsidRPr="00603CC5">
        <w:rPr>
          <w:rFonts w:ascii="Arial Narrow" w:hAnsi="Arial Narrow"/>
          <w:b/>
          <w:bCs/>
          <w:sz w:val="24"/>
          <w:szCs w:val="24"/>
        </w:rPr>
        <w:t xml:space="preserve">PROTESTO LO NECESARIO EN LA CIUDAD DE MÉRIDA, YUCATÁN A LOS </w:t>
      </w:r>
      <w:r w:rsidR="00601196">
        <w:rPr>
          <w:rFonts w:ascii="Arial Narrow" w:hAnsi="Arial Narrow"/>
          <w:b/>
          <w:bCs/>
          <w:sz w:val="24"/>
          <w:szCs w:val="24"/>
        </w:rPr>
        <w:t>09</w:t>
      </w:r>
      <w:r w:rsidRPr="00603CC5">
        <w:rPr>
          <w:rFonts w:ascii="Arial Narrow" w:hAnsi="Arial Narrow"/>
          <w:b/>
          <w:bCs/>
          <w:sz w:val="24"/>
          <w:szCs w:val="24"/>
        </w:rPr>
        <w:t xml:space="preserve"> DÍAS DEL MES DE </w:t>
      </w:r>
      <w:r w:rsidR="005652F0">
        <w:rPr>
          <w:rFonts w:ascii="Arial Narrow" w:hAnsi="Arial Narrow"/>
          <w:b/>
          <w:bCs/>
          <w:sz w:val="24"/>
          <w:szCs w:val="24"/>
        </w:rPr>
        <w:t>SEPTIEMBRE</w:t>
      </w:r>
      <w:r w:rsidR="00342E20">
        <w:rPr>
          <w:rFonts w:ascii="Arial Narrow" w:hAnsi="Arial Narrow"/>
          <w:b/>
          <w:bCs/>
          <w:sz w:val="24"/>
          <w:szCs w:val="24"/>
        </w:rPr>
        <w:t xml:space="preserve"> DE 2026</w:t>
      </w:r>
      <w:r w:rsidRPr="00603CC5">
        <w:rPr>
          <w:rFonts w:ascii="Arial Narrow" w:hAnsi="Arial Narrow"/>
          <w:b/>
          <w:bCs/>
          <w:sz w:val="24"/>
          <w:szCs w:val="24"/>
        </w:rPr>
        <w:t>.</w:t>
      </w:r>
    </w:p>
    <w:p w14:paraId="1BC4083D" w14:textId="77777777" w:rsidR="00601196" w:rsidRDefault="00601196" w:rsidP="003604DC">
      <w:pPr>
        <w:spacing w:before="180" w:after="160" w:line="360" w:lineRule="auto"/>
        <w:jc w:val="both"/>
        <w:rPr>
          <w:rFonts w:ascii="Arial Narrow" w:hAnsi="Arial Narrow"/>
          <w:b/>
          <w:bCs/>
          <w:sz w:val="24"/>
          <w:szCs w:val="24"/>
        </w:rPr>
      </w:pPr>
      <w:bookmarkStart w:id="0" w:name="_GoBack"/>
      <w:bookmarkEnd w:id="0"/>
    </w:p>
    <w:p w14:paraId="5FCFD84A" w14:textId="4F5C1CA7" w:rsidR="009D0150" w:rsidRPr="00601196" w:rsidRDefault="009D0150" w:rsidP="00601196">
      <w:pPr>
        <w:shd w:val="clear" w:color="auto" w:fill="FFFFFF"/>
        <w:spacing w:after="60" w:line="360" w:lineRule="auto"/>
        <w:ind w:right="-60"/>
        <w:jc w:val="center"/>
        <w:rPr>
          <w:rFonts w:ascii="Arial Narrow" w:hAnsi="Arial Narrow"/>
          <w:b/>
          <w:bCs/>
          <w:sz w:val="24"/>
          <w:szCs w:val="24"/>
        </w:rPr>
      </w:pPr>
      <w:r w:rsidRPr="00603CC5">
        <w:rPr>
          <w:rFonts w:ascii="Arial Narrow" w:hAnsi="Arial Narrow"/>
          <w:b/>
          <w:bCs/>
          <w:sz w:val="24"/>
          <w:szCs w:val="24"/>
        </w:rPr>
        <w:t>_________________________________________</w:t>
      </w:r>
      <w:r w:rsidRPr="00603CC5">
        <w:rPr>
          <w:rFonts w:ascii="Arial Narrow" w:hAnsi="Arial Narrow"/>
          <w:sz w:val="24"/>
          <w:szCs w:val="24"/>
        </w:rPr>
        <w:t xml:space="preserve"> </w:t>
      </w:r>
    </w:p>
    <w:p w14:paraId="43A972FD" w14:textId="77777777" w:rsidR="009D0150" w:rsidRPr="00603CC5" w:rsidRDefault="009D0150" w:rsidP="003604DC">
      <w:pPr>
        <w:shd w:val="clear" w:color="auto" w:fill="FFFFFF"/>
        <w:spacing w:after="60" w:line="360" w:lineRule="auto"/>
        <w:ind w:right="-60"/>
        <w:jc w:val="center"/>
        <w:rPr>
          <w:rFonts w:ascii="Arial Narrow" w:hAnsi="Arial Narrow"/>
          <w:b/>
          <w:bCs/>
          <w:sz w:val="24"/>
          <w:szCs w:val="24"/>
        </w:rPr>
      </w:pPr>
      <w:r w:rsidRPr="00603CC5">
        <w:rPr>
          <w:rFonts w:ascii="Arial Narrow" w:hAnsi="Arial Narrow"/>
          <w:b/>
          <w:bCs/>
          <w:sz w:val="24"/>
          <w:szCs w:val="24"/>
        </w:rPr>
        <w:t>MTRO. GASPAR ARMANDO QUINTAL PARRA</w:t>
      </w:r>
    </w:p>
    <w:p w14:paraId="56AD2129" w14:textId="77777777" w:rsidR="009D0150" w:rsidRDefault="009D0150" w:rsidP="003604DC">
      <w:pPr>
        <w:shd w:val="clear" w:color="auto" w:fill="FFFFFF"/>
        <w:spacing w:after="60" w:line="360" w:lineRule="auto"/>
        <w:ind w:right="-60"/>
        <w:jc w:val="center"/>
        <w:rPr>
          <w:rFonts w:ascii="Arial Narrow" w:hAnsi="Arial Narrow"/>
          <w:i/>
          <w:iCs/>
          <w:sz w:val="24"/>
          <w:szCs w:val="24"/>
        </w:rPr>
      </w:pPr>
      <w:r w:rsidRPr="00603CC5">
        <w:rPr>
          <w:rFonts w:ascii="Arial Narrow" w:hAnsi="Arial Narrow"/>
          <w:i/>
          <w:iCs/>
          <w:sz w:val="24"/>
          <w:szCs w:val="24"/>
        </w:rPr>
        <w:t xml:space="preserve">Diputado del Partido Revolucionario Institucional en la </w:t>
      </w:r>
    </w:p>
    <w:p w14:paraId="429EBAFE" w14:textId="3605F61F" w:rsidR="009943AE" w:rsidRPr="00601196" w:rsidRDefault="009D0150" w:rsidP="00601196">
      <w:pPr>
        <w:shd w:val="clear" w:color="auto" w:fill="FFFFFF"/>
        <w:spacing w:after="60" w:line="360" w:lineRule="auto"/>
        <w:ind w:right="-60"/>
        <w:jc w:val="center"/>
        <w:rPr>
          <w:rFonts w:ascii="Arial Narrow" w:hAnsi="Arial Narrow"/>
          <w:i/>
          <w:iCs/>
          <w:sz w:val="24"/>
          <w:szCs w:val="24"/>
        </w:rPr>
      </w:pPr>
      <w:r w:rsidRPr="00603CC5">
        <w:rPr>
          <w:rFonts w:ascii="Arial Narrow" w:hAnsi="Arial Narrow"/>
          <w:i/>
          <w:iCs/>
          <w:sz w:val="24"/>
          <w:szCs w:val="24"/>
        </w:rPr>
        <w:t>LXIV Legislatura del H. Congreso del Estado de Yucatán</w:t>
      </w:r>
    </w:p>
    <w:sectPr w:rsidR="009943AE" w:rsidRPr="0060119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FB7D3C" w14:textId="77777777" w:rsidR="00F116B7" w:rsidRDefault="00F116B7" w:rsidP="009D0150">
      <w:r>
        <w:separator/>
      </w:r>
    </w:p>
  </w:endnote>
  <w:endnote w:type="continuationSeparator" w:id="0">
    <w:p w14:paraId="6A2CC55A" w14:textId="77777777" w:rsidR="00F116B7" w:rsidRDefault="00F116B7" w:rsidP="009D0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9509F" w14:textId="77777777" w:rsidR="009D0150" w:rsidRDefault="009D0150" w:rsidP="009D0150">
    <w:pPr>
      <w:pStyle w:val="Encabezado"/>
    </w:pPr>
  </w:p>
  <w:p w14:paraId="56E6CEFC" w14:textId="77777777" w:rsidR="009D0150" w:rsidRDefault="009D0150" w:rsidP="009D0150"/>
  <w:p w14:paraId="6F9F709C" w14:textId="77777777" w:rsidR="009D0150" w:rsidRDefault="009D0150" w:rsidP="009D0150">
    <w:pPr>
      <w:pStyle w:val="Piedepgina"/>
    </w:pPr>
  </w:p>
  <w:p w14:paraId="52B0136C" w14:textId="77777777" w:rsidR="009D0150" w:rsidRDefault="009D0150" w:rsidP="009D0150"/>
  <w:sdt>
    <w:sdtPr>
      <w:id w:val="1603539345"/>
      <w:docPartObj>
        <w:docPartGallery w:val="Page Numbers (Bottom of Page)"/>
        <w:docPartUnique/>
      </w:docPartObj>
    </w:sdtPr>
    <w:sdtEndPr/>
    <w:sdtContent>
      <w:sdt>
        <w:sdtPr>
          <w:id w:val="-1769616900"/>
          <w:docPartObj>
            <w:docPartGallery w:val="Page Numbers (Top of Page)"/>
            <w:docPartUnique/>
          </w:docPartObj>
        </w:sdtPr>
        <w:sdtEndPr/>
        <w:sdtContent>
          <w:p w14:paraId="47E5EEB9" w14:textId="77777777" w:rsidR="009D0150" w:rsidRDefault="009D0150" w:rsidP="009D0150">
            <w:pPr>
              <w:pStyle w:val="Piedepgina"/>
              <w:jc w:val="right"/>
            </w:pPr>
            <w:r w:rsidRPr="00513778">
              <w:rPr>
                <w:noProof/>
              </w:rPr>
              <w:drawing>
                <wp:anchor distT="0" distB="0" distL="0" distR="0" simplePos="0" relativeHeight="251658242" behindDoc="1" locked="0" layoutInCell="1" hidden="0" allowOverlap="1" wp14:anchorId="2EDDAECE" wp14:editId="0987DFFE">
                  <wp:simplePos x="0" y="0"/>
                  <wp:positionH relativeFrom="column">
                    <wp:posOffset>4487545</wp:posOffset>
                  </wp:positionH>
                  <wp:positionV relativeFrom="paragraph">
                    <wp:posOffset>-110490</wp:posOffset>
                  </wp:positionV>
                  <wp:extent cx="1964055" cy="1063625"/>
                  <wp:effectExtent l="0" t="0" r="0" b="0"/>
                  <wp:wrapNone/>
                  <wp:docPr id="15" name="image1.png" descr="C:\Users\DIPUTADOS\Downloads\AGENDA CONGRESO (2).png"/>
                  <wp:cNvGraphicFramePr/>
                  <a:graphic xmlns:a="http://schemas.openxmlformats.org/drawingml/2006/main">
                    <a:graphicData uri="http://schemas.openxmlformats.org/drawingml/2006/picture">
                      <pic:pic xmlns:pic="http://schemas.openxmlformats.org/drawingml/2006/picture">
                        <pic:nvPicPr>
                          <pic:cNvPr id="0" name="image1.png" descr="C:\Users\DIPUTADOS\Downloads\AGENDA CONGRESO (2).png"/>
                          <pic:cNvPicPr preferRelativeResize="0"/>
                        </pic:nvPicPr>
                        <pic:blipFill>
                          <a:blip r:embed="rId1"/>
                          <a:srcRect l="69472" t="87682" r="18" b="-1250"/>
                          <a:stretch>
                            <a:fillRect/>
                          </a:stretch>
                        </pic:blipFill>
                        <pic:spPr>
                          <a:xfrm>
                            <a:off x="0" y="0"/>
                            <a:ext cx="1964055" cy="1063625"/>
                          </a:xfrm>
                          <a:prstGeom prst="rect">
                            <a:avLst/>
                          </a:prstGeom>
                          <a:ln/>
                        </pic:spPr>
                      </pic:pic>
                    </a:graphicData>
                  </a:graphic>
                  <wp14:sizeRelH relativeFrom="margin">
                    <wp14:pctWidth>0</wp14:pctWidth>
                  </wp14:sizeRelH>
                  <wp14:sizeRelV relativeFrom="margin">
                    <wp14:pctHeight>0</wp14:pctHeight>
                  </wp14:sizeRelV>
                </wp:anchor>
              </w:drawing>
            </w:r>
            <w:r w:rsidRPr="00513778">
              <w:rPr>
                <w:noProof/>
              </w:rPr>
              <w:drawing>
                <wp:anchor distT="0" distB="0" distL="0" distR="0" simplePos="0" relativeHeight="251658241" behindDoc="1" locked="0" layoutInCell="1" hidden="0" allowOverlap="1" wp14:anchorId="3CA8CDDE" wp14:editId="32EE9923">
                  <wp:simplePos x="0" y="0"/>
                  <wp:positionH relativeFrom="column">
                    <wp:posOffset>-614680</wp:posOffset>
                  </wp:positionH>
                  <wp:positionV relativeFrom="paragraph">
                    <wp:posOffset>-145415</wp:posOffset>
                  </wp:positionV>
                  <wp:extent cx="1432560" cy="1167765"/>
                  <wp:effectExtent l="0" t="0" r="0" b="0"/>
                  <wp:wrapNone/>
                  <wp:docPr id="16" name="image1.png" descr="C:\Users\DIPUTADOS\Downloads\AGENDA CONGRESO (2).png"/>
                  <wp:cNvGraphicFramePr/>
                  <a:graphic xmlns:a="http://schemas.openxmlformats.org/drawingml/2006/main">
                    <a:graphicData uri="http://schemas.openxmlformats.org/drawingml/2006/picture">
                      <pic:pic xmlns:pic="http://schemas.openxmlformats.org/drawingml/2006/picture">
                        <pic:nvPicPr>
                          <pic:cNvPr id="0" name="image1.png" descr="C:\Users\DIPUTADOS\Downloads\AGENDA CONGRESO (2).png"/>
                          <pic:cNvPicPr preferRelativeResize="0"/>
                        </pic:nvPicPr>
                        <pic:blipFill>
                          <a:blip r:embed="rId1"/>
                          <a:srcRect l="1785" t="84539" r="73057" b="-919"/>
                          <a:stretch>
                            <a:fillRect/>
                          </a:stretch>
                        </pic:blipFill>
                        <pic:spPr>
                          <a:xfrm>
                            <a:off x="0" y="0"/>
                            <a:ext cx="1432560" cy="1167765"/>
                          </a:xfrm>
                          <a:prstGeom prst="rect">
                            <a:avLst/>
                          </a:prstGeom>
                          <a:ln/>
                        </pic:spPr>
                      </pic:pic>
                    </a:graphicData>
                  </a:graphic>
                  <wp14:sizeRelH relativeFrom="margin">
                    <wp14:pctWidth>0</wp14:pctWidth>
                  </wp14:sizeRelH>
                  <wp14:sizeRelV relativeFrom="margin">
                    <wp14:pctHeight>0</wp14:pctHeight>
                  </wp14:sizeRelV>
                </wp:anchor>
              </w:drawing>
            </w:r>
            <w:r w:rsidRPr="00513778">
              <w:rPr>
                <w:noProof/>
              </w:rPr>
              <w:drawing>
                <wp:anchor distT="0" distB="0" distL="114300" distR="114300" simplePos="0" relativeHeight="251658240" behindDoc="1" locked="0" layoutInCell="1" allowOverlap="1" wp14:anchorId="0675A53E" wp14:editId="6A50E09C">
                  <wp:simplePos x="0" y="0"/>
                  <wp:positionH relativeFrom="column">
                    <wp:posOffset>1296670</wp:posOffset>
                  </wp:positionH>
                  <wp:positionV relativeFrom="paragraph">
                    <wp:posOffset>-135255</wp:posOffset>
                  </wp:positionV>
                  <wp:extent cx="2797175" cy="600075"/>
                  <wp:effectExtent l="0" t="0" r="3175" b="952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l="9667" t="7469" r="9468" b="79117"/>
                          <a:stretch/>
                        </pic:blipFill>
                        <pic:spPr bwMode="auto">
                          <a:xfrm>
                            <a:off x="0" y="0"/>
                            <a:ext cx="279717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s-ES"/>
              </w:rPr>
              <w:t xml:space="preserve">Página </w:t>
            </w:r>
            <w:r>
              <w:rPr>
                <w:b/>
                <w:bCs/>
                <w:sz w:val="24"/>
                <w:szCs w:val="24"/>
              </w:rPr>
              <w:fldChar w:fldCharType="begin"/>
            </w:r>
            <w:r>
              <w:rPr>
                <w:b/>
                <w:bCs/>
              </w:rPr>
              <w:instrText>PAGE</w:instrText>
            </w:r>
            <w:r>
              <w:rPr>
                <w:b/>
                <w:bCs/>
                <w:sz w:val="24"/>
                <w:szCs w:val="24"/>
              </w:rPr>
              <w:fldChar w:fldCharType="separate"/>
            </w:r>
            <w:r w:rsidR="0042538D">
              <w:rPr>
                <w:b/>
                <w:bCs/>
                <w:noProof/>
              </w:rPr>
              <w:t>10</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42538D">
              <w:rPr>
                <w:b/>
                <w:bCs/>
                <w:noProof/>
              </w:rPr>
              <w:t>10</w:t>
            </w:r>
            <w:r>
              <w:rPr>
                <w:b/>
                <w:bCs/>
                <w:sz w:val="24"/>
                <w:szCs w:val="24"/>
              </w:rPr>
              <w:fldChar w:fldCharType="end"/>
            </w:r>
          </w:p>
        </w:sdtContent>
      </w:sdt>
    </w:sdtContent>
  </w:sdt>
  <w:p w14:paraId="5B041CE7" w14:textId="77777777" w:rsidR="009D0150" w:rsidRDefault="009D01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18635" w14:textId="77777777" w:rsidR="00F116B7" w:rsidRDefault="00F116B7" w:rsidP="009D0150">
      <w:r>
        <w:separator/>
      </w:r>
    </w:p>
  </w:footnote>
  <w:footnote w:type="continuationSeparator" w:id="0">
    <w:p w14:paraId="102970FB" w14:textId="77777777" w:rsidR="00F116B7" w:rsidRDefault="00F116B7" w:rsidP="009D01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8508B"/>
    <w:multiLevelType w:val="multilevel"/>
    <w:tmpl w:val="5214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E086F"/>
    <w:multiLevelType w:val="multilevel"/>
    <w:tmpl w:val="6DB6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F7849"/>
    <w:multiLevelType w:val="hybridMultilevel"/>
    <w:tmpl w:val="DF9E4730"/>
    <w:lvl w:ilvl="0" w:tplc="1908ABA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F11C46"/>
    <w:multiLevelType w:val="hybridMultilevel"/>
    <w:tmpl w:val="CFB02D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C248AD"/>
    <w:multiLevelType w:val="multilevel"/>
    <w:tmpl w:val="B69C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610776"/>
    <w:multiLevelType w:val="hybridMultilevel"/>
    <w:tmpl w:val="1FD0C29C"/>
    <w:lvl w:ilvl="0" w:tplc="C982F9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E941EE"/>
    <w:multiLevelType w:val="hybridMultilevel"/>
    <w:tmpl w:val="E1BA3C96"/>
    <w:lvl w:ilvl="0" w:tplc="05B086DA">
      <w:numFmt w:val="bullet"/>
      <w:lvlText w:val="-"/>
      <w:lvlJc w:val="left"/>
      <w:pPr>
        <w:ind w:left="720" w:hanging="360"/>
      </w:pPr>
      <w:rPr>
        <w:rFonts w:ascii="Arial Narrow" w:eastAsia="Times New Roman" w:hAnsi="Arial Narrow" w:cs="Times New Roman"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54B651B"/>
    <w:multiLevelType w:val="hybridMultilevel"/>
    <w:tmpl w:val="1908B430"/>
    <w:lvl w:ilvl="0" w:tplc="05B086DA">
      <w:numFmt w:val="bullet"/>
      <w:lvlText w:val="-"/>
      <w:lvlJc w:val="left"/>
      <w:pPr>
        <w:ind w:left="720" w:hanging="360"/>
      </w:pPr>
      <w:rPr>
        <w:rFonts w:ascii="Arial Narrow" w:eastAsia="Times New Roman" w:hAnsi="Arial Narrow" w:cs="Times New Roman"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779091A"/>
    <w:multiLevelType w:val="multilevel"/>
    <w:tmpl w:val="B8EC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AD742A"/>
    <w:multiLevelType w:val="multilevel"/>
    <w:tmpl w:val="7D88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8A0685"/>
    <w:multiLevelType w:val="hybridMultilevel"/>
    <w:tmpl w:val="8DB604EA"/>
    <w:lvl w:ilvl="0" w:tplc="C72A3D0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5D7002F"/>
    <w:multiLevelType w:val="multilevel"/>
    <w:tmpl w:val="947E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537980"/>
    <w:multiLevelType w:val="hybridMultilevel"/>
    <w:tmpl w:val="DFE8627E"/>
    <w:lvl w:ilvl="0" w:tplc="74BA8D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0"/>
  </w:num>
  <w:num w:numId="3">
    <w:abstractNumId w:val="5"/>
  </w:num>
  <w:num w:numId="4">
    <w:abstractNumId w:val="4"/>
  </w:num>
  <w:num w:numId="5">
    <w:abstractNumId w:val="8"/>
  </w:num>
  <w:num w:numId="6">
    <w:abstractNumId w:val="0"/>
  </w:num>
  <w:num w:numId="7">
    <w:abstractNumId w:val="2"/>
  </w:num>
  <w:num w:numId="8">
    <w:abstractNumId w:val="9"/>
  </w:num>
  <w:num w:numId="9">
    <w:abstractNumId w:val="6"/>
  </w:num>
  <w:num w:numId="10">
    <w:abstractNumId w:val="7"/>
  </w:num>
  <w:num w:numId="11">
    <w:abstractNumId w:val="1"/>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50"/>
    <w:rsid w:val="000255C8"/>
    <w:rsid w:val="0006023E"/>
    <w:rsid w:val="000731C7"/>
    <w:rsid w:val="000B2188"/>
    <w:rsid w:val="000D109D"/>
    <w:rsid w:val="000D5BAA"/>
    <w:rsid w:val="00101648"/>
    <w:rsid w:val="0010501C"/>
    <w:rsid w:val="00116FDF"/>
    <w:rsid w:val="00130B47"/>
    <w:rsid w:val="0013326A"/>
    <w:rsid w:val="00133CAF"/>
    <w:rsid w:val="001408E4"/>
    <w:rsid w:val="00142F1C"/>
    <w:rsid w:val="001503B8"/>
    <w:rsid w:val="00164A01"/>
    <w:rsid w:val="001969C7"/>
    <w:rsid w:val="001A7322"/>
    <w:rsid w:val="001F4313"/>
    <w:rsid w:val="00215368"/>
    <w:rsid w:val="00246471"/>
    <w:rsid w:val="0026449A"/>
    <w:rsid w:val="002833CC"/>
    <w:rsid w:val="002A3D57"/>
    <w:rsid w:val="002E61DC"/>
    <w:rsid w:val="002F016A"/>
    <w:rsid w:val="003217B8"/>
    <w:rsid w:val="00342E20"/>
    <w:rsid w:val="003604DC"/>
    <w:rsid w:val="0038605B"/>
    <w:rsid w:val="003B4250"/>
    <w:rsid w:val="003B7999"/>
    <w:rsid w:val="003C204A"/>
    <w:rsid w:val="00410BF0"/>
    <w:rsid w:val="0042538D"/>
    <w:rsid w:val="00432923"/>
    <w:rsid w:val="00447A6C"/>
    <w:rsid w:val="00475C80"/>
    <w:rsid w:val="0049527F"/>
    <w:rsid w:val="004975F1"/>
    <w:rsid w:val="004B797B"/>
    <w:rsid w:val="004D04EA"/>
    <w:rsid w:val="004E023F"/>
    <w:rsid w:val="004E766B"/>
    <w:rsid w:val="005132D2"/>
    <w:rsid w:val="005457DF"/>
    <w:rsid w:val="005521B0"/>
    <w:rsid w:val="005652F0"/>
    <w:rsid w:val="0057226C"/>
    <w:rsid w:val="005B7F2F"/>
    <w:rsid w:val="005E0621"/>
    <w:rsid w:val="00601196"/>
    <w:rsid w:val="00611D36"/>
    <w:rsid w:val="006435F4"/>
    <w:rsid w:val="0065139C"/>
    <w:rsid w:val="00664383"/>
    <w:rsid w:val="0067779C"/>
    <w:rsid w:val="00684D1F"/>
    <w:rsid w:val="00686E1E"/>
    <w:rsid w:val="006A2B4C"/>
    <w:rsid w:val="006A5E2E"/>
    <w:rsid w:val="006B2B52"/>
    <w:rsid w:val="006E0896"/>
    <w:rsid w:val="006E1C75"/>
    <w:rsid w:val="006E4483"/>
    <w:rsid w:val="006F6868"/>
    <w:rsid w:val="00700251"/>
    <w:rsid w:val="007064C5"/>
    <w:rsid w:val="007103DD"/>
    <w:rsid w:val="007258D0"/>
    <w:rsid w:val="0075767C"/>
    <w:rsid w:val="007940DD"/>
    <w:rsid w:val="007A1C09"/>
    <w:rsid w:val="008105A4"/>
    <w:rsid w:val="0082052A"/>
    <w:rsid w:val="008363B9"/>
    <w:rsid w:val="00842F39"/>
    <w:rsid w:val="008453BA"/>
    <w:rsid w:val="00850B21"/>
    <w:rsid w:val="00890B70"/>
    <w:rsid w:val="008B29CC"/>
    <w:rsid w:val="008B6D00"/>
    <w:rsid w:val="008C4971"/>
    <w:rsid w:val="008C61DE"/>
    <w:rsid w:val="008C6C2F"/>
    <w:rsid w:val="008C7004"/>
    <w:rsid w:val="00907427"/>
    <w:rsid w:val="00917423"/>
    <w:rsid w:val="009350BB"/>
    <w:rsid w:val="009643BF"/>
    <w:rsid w:val="00971EB5"/>
    <w:rsid w:val="00972464"/>
    <w:rsid w:val="00974E6D"/>
    <w:rsid w:val="0098027F"/>
    <w:rsid w:val="009943AE"/>
    <w:rsid w:val="009C0D62"/>
    <w:rsid w:val="009D0150"/>
    <w:rsid w:val="00A03454"/>
    <w:rsid w:val="00A132BB"/>
    <w:rsid w:val="00A16933"/>
    <w:rsid w:val="00A44EDB"/>
    <w:rsid w:val="00A57E65"/>
    <w:rsid w:val="00A62EA0"/>
    <w:rsid w:val="00A64858"/>
    <w:rsid w:val="00A734E7"/>
    <w:rsid w:val="00A93AC5"/>
    <w:rsid w:val="00A954D9"/>
    <w:rsid w:val="00AD191D"/>
    <w:rsid w:val="00AD192F"/>
    <w:rsid w:val="00AD2AC0"/>
    <w:rsid w:val="00AF030B"/>
    <w:rsid w:val="00AF40D0"/>
    <w:rsid w:val="00B03401"/>
    <w:rsid w:val="00B07C25"/>
    <w:rsid w:val="00B463D5"/>
    <w:rsid w:val="00B73F54"/>
    <w:rsid w:val="00B86E52"/>
    <w:rsid w:val="00B92F4D"/>
    <w:rsid w:val="00BA0135"/>
    <w:rsid w:val="00BB0519"/>
    <w:rsid w:val="00BB49EB"/>
    <w:rsid w:val="00BD7D5E"/>
    <w:rsid w:val="00BE74F9"/>
    <w:rsid w:val="00BF2A8D"/>
    <w:rsid w:val="00C041E8"/>
    <w:rsid w:val="00C117D1"/>
    <w:rsid w:val="00C1430B"/>
    <w:rsid w:val="00C1786B"/>
    <w:rsid w:val="00C37C60"/>
    <w:rsid w:val="00C723B3"/>
    <w:rsid w:val="00C77303"/>
    <w:rsid w:val="00C84BE0"/>
    <w:rsid w:val="00CA78A9"/>
    <w:rsid w:val="00CC1DE0"/>
    <w:rsid w:val="00CC268F"/>
    <w:rsid w:val="00CC3615"/>
    <w:rsid w:val="00CD7A10"/>
    <w:rsid w:val="00CE2137"/>
    <w:rsid w:val="00D057E4"/>
    <w:rsid w:val="00D26488"/>
    <w:rsid w:val="00D45C70"/>
    <w:rsid w:val="00D62ED4"/>
    <w:rsid w:val="00D64F6E"/>
    <w:rsid w:val="00DB44F3"/>
    <w:rsid w:val="00E00312"/>
    <w:rsid w:val="00E05B78"/>
    <w:rsid w:val="00E26D00"/>
    <w:rsid w:val="00E33D86"/>
    <w:rsid w:val="00E559B3"/>
    <w:rsid w:val="00E6352E"/>
    <w:rsid w:val="00E710FA"/>
    <w:rsid w:val="00E723BC"/>
    <w:rsid w:val="00E91EC2"/>
    <w:rsid w:val="00EA3B1F"/>
    <w:rsid w:val="00EA43AE"/>
    <w:rsid w:val="00EC6FEF"/>
    <w:rsid w:val="00EE4104"/>
    <w:rsid w:val="00EE69DB"/>
    <w:rsid w:val="00EF7016"/>
    <w:rsid w:val="00F116B7"/>
    <w:rsid w:val="00F21599"/>
    <w:rsid w:val="00F54388"/>
    <w:rsid w:val="00F56D6A"/>
    <w:rsid w:val="00F66F6D"/>
    <w:rsid w:val="00F95356"/>
    <w:rsid w:val="00FD1414"/>
    <w:rsid w:val="00FD70A9"/>
    <w:rsid w:val="00FF63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27648"/>
  <w15:chartTrackingRefBased/>
  <w15:docId w15:val="{72537634-8AC2-479D-8282-D5BE0796E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50"/>
    <w:pPr>
      <w:widowControl w:val="0"/>
      <w:spacing w:after="0" w:line="240" w:lineRule="auto"/>
    </w:pPr>
    <w:rPr>
      <w:rFonts w:ascii="Times New Roman" w:eastAsia="Times New Roman" w:hAnsi="Times New Roman" w:cs="Times New Roman"/>
      <w:sz w:val="20"/>
      <w:szCs w:val="20"/>
      <w:lang w:eastAsia="es-MX"/>
    </w:rPr>
  </w:style>
  <w:style w:type="paragraph" w:styleId="Ttulo1">
    <w:name w:val="heading 1"/>
    <w:basedOn w:val="Normal"/>
    <w:next w:val="Normal"/>
    <w:link w:val="Ttulo1Car"/>
    <w:uiPriority w:val="9"/>
    <w:qFormat/>
    <w:rsid w:val="00D2648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0150"/>
    <w:pPr>
      <w:tabs>
        <w:tab w:val="center" w:pos="4419"/>
        <w:tab w:val="right" w:pos="8838"/>
      </w:tabs>
    </w:pPr>
  </w:style>
  <w:style w:type="character" w:customStyle="1" w:styleId="EncabezadoCar">
    <w:name w:val="Encabezado Car"/>
    <w:basedOn w:val="Fuentedeprrafopredeter"/>
    <w:link w:val="Encabezado"/>
    <w:uiPriority w:val="99"/>
    <w:rsid w:val="009D0150"/>
    <w:rPr>
      <w:rFonts w:ascii="Times New Roman" w:eastAsia="Times New Roman" w:hAnsi="Times New Roman" w:cs="Times New Roman"/>
      <w:sz w:val="20"/>
      <w:szCs w:val="20"/>
      <w:lang w:eastAsia="es-MX"/>
    </w:rPr>
  </w:style>
  <w:style w:type="paragraph" w:styleId="Piedepgina">
    <w:name w:val="footer"/>
    <w:basedOn w:val="Normal"/>
    <w:link w:val="PiedepginaCar"/>
    <w:uiPriority w:val="99"/>
    <w:unhideWhenUsed/>
    <w:rsid w:val="009D0150"/>
    <w:pPr>
      <w:tabs>
        <w:tab w:val="center" w:pos="4419"/>
        <w:tab w:val="right" w:pos="8838"/>
      </w:tabs>
    </w:pPr>
  </w:style>
  <w:style w:type="character" w:customStyle="1" w:styleId="PiedepginaCar">
    <w:name w:val="Pie de página Car"/>
    <w:basedOn w:val="Fuentedeprrafopredeter"/>
    <w:link w:val="Piedepgina"/>
    <w:uiPriority w:val="99"/>
    <w:rsid w:val="009D0150"/>
    <w:rPr>
      <w:rFonts w:ascii="Times New Roman" w:eastAsia="Times New Roman" w:hAnsi="Times New Roman" w:cs="Times New Roman"/>
      <w:sz w:val="20"/>
      <w:szCs w:val="20"/>
      <w:lang w:eastAsia="es-MX"/>
    </w:rPr>
  </w:style>
  <w:style w:type="table" w:styleId="Tablaconcuadrcula">
    <w:name w:val="Table Grid"/>
    <w:basedOn w:val="Tablanormal"/>
    <w:uiPriority w:val="39"/>
    <w:rsid w:val="009D0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07C25"/>
    <w:pPr>
      <w:ind w:left="720"/>
      <w:contextualSpacing/>
    </w:pPr>
  </w:style>
  <w:style w:type="paragraph" w:styleId="NormalWeb">
    <w:name w:val="Normal (Web)"/>
    <w:basedOn w:val="Normal"/>
    <w:uiPriority w:val="99"/>
    <w:semiHidden/>
    <w:unhideWhenUsed/>
    <w:rsid w:val="00B07C25"/>
    <w:rPr>
      <w:sz w:val="24"/>
      <w:szCs w:val="24"/>
    </w:rPr>
  </w:style>
  <w:style w:type="character" w:customStyle="1" w:styleId="Ttulo1Car">
    <w:name w:val="Título 1 Car"/>
    <w:basedOn w:val="Fuentedeprrafopredeter"/>
    <w:link w:val="Ttulo1"/>
    <w:uiPriority w:val="9"/>
    <w:rsid w:val="00D26488"/>
    <w:rPr>
      <w:rFonts w:asciiTheme="majorHAnsi" w:eastAsiaTheme="majorEastAsia" w:hAnsiTheme="majorHAnsi" w:cstheme="majorBidi"/>
      <w:color w:val="2E74B5" w:themeColor="accent1" w:themeShade="BF"/>
      <w:sz w:val="32"/>
      <w:szCs w:val="32"/>
      <w:lang w:eastAsia="es-MX"/>
    </w:rPr>
  </w:style>
  <w:style w:type="paragraph" w:styleId="Textodeglobo">
    <w:name w:val="Balloon Text"/>
    <w:basedOn w:val="Normal"/>
    <w:link w:val="TextodegloboCar"/>
    <w:uiPriority w:val="99"/>
    <w:semiHidden/>
    <w:unhideWhenUsed/>
    <w:rsid w:val="0060119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1196"/>
    <w:rPr>
      <w:rFonts w:ascii="Segoe UI" w:eastAsia="Times New Roman"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1326">
      <w:bodyDiv w:val="1"/>
      <w:marLeft w:val="0"/>
      <w:marRight w:val="0"/>
      <w:marTop w:val="0"/>
      <w:marBottom w:val="0"/>
      <w:divBdr>
        <w:top w:val="none" w:sz="0" w:space="0" w:color="auto"/>
        <w:left w:val="none" w:sz="0" w:space="0" w:color="auto"/>
        <w:bottom w:val="none" w:sz="0" w:space="0" w:color="auto"/>
        <w:right w:val="none" w:sz="0" w:space="0" w:color="auto"/>
      </w:divBdr>
      <w:divsChild>
        <w:div w:id="421343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20900">
      <w:bodyDiv w:val="1"/>
      <w:marLeft w:val="0"/>
      <w:marRight w:val="0"/>
      <w:marTop w:val="0"/>
      <w:marBottom w:val="0"/>
      <w:divBdr>
        <w:top w:val="none" w:sz="0" w:space="0" w:color="auto"/>
        <w:left w:val="none" w:sz="0" w:space="0" w:color="auto"/>
        <w:bottom w:val="none" w:sz="0" w:space="0" w:color="auto"/>
        <w:right w:val="none" w:sz="0" w:space="0" w:color="auto"/>
      </w:divBdr>
      <w:divsChild>
        <w:div w:id="1842162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228656">
      <w:bodyDiv w:val="1"/>
      <w:marLeft w:val="0"/>
      <w:marRight w:val="0"/>
      <w:marTop w:val="0"/>
      <w:marBottom w:val="0"/>
      <w:divBdr>
        <w:top w:val="none" w:sz="0" w:space="0" w:color="auto"/>
        <w:left w:val="none" w:sz="0" w:space="0" w:color="auto"/>
        <w:bottom w:val="none" w:sz="0" w:space="0" w:color="auto"/>
        <w:right w:val="none" w:sz="0" w:space="0" w:color="auto"/>
      </w:divBdr>
      <w:divsChild>
        <w:div w:id="1917086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5257310">
      <w:bodyDiv w:val="1"/>
      <w:marLeft w:val="0"/>
      <w:marRight w:val="0"/>
      <w:marTop w:val="0"/>
      <w:marBottom w:val="0"/>
      <w:divBdr>
        <w:top w:val="none" w:sz="0" w:space="0" w:color="auto"/>
        <w:left w:val="none" w:sz="0" w:space="0" w:color="auto"/>
        <w:bottom w:val="none" w:sz="0" w:space="0" w:color="auto"/>
        <w:right w:val="none" w:sz="0" w:space="0" w:color="auto"/>
      </w:divBdr>
    </w:div>
    <w:div w:id="1625891597">
      <w:bodyDiv w:val="1"/>
      <w:marLeft w:val="0"/>
      <w:marRight w:val="0"/>
      <w:marTop w:val="0"/>
      <w:marBottom w:val="0"/>
      <w:divBdr>
        <w:top w:val="none" w:sz="0" w:space="0" w:color="auto"/>
        <w:left w:val="none" w:sz="0" w:space="0" w:color="auto"/>
        <w:bottom w:val="none" w:sz="0" w:space="0" w:color="auto"/>
        <w:right w:val="none" w:sz="0" w:space="0" w:color="auto"/>
      </w:divBdr>
      <w:divsChild>
        <w:div w:id="82362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0652">
      <w:bodyDiv w:val="1"/>
      <w:marLeft w:val="0"/>
      <w:marRight w:val="0"/>
      <w:marTop w:val="0"/>
      <w:marBottom w:val="0"/>
      <w:divBdr>
        <w:top w:val="none" w:sz="0" w:space="0" w:color="auto"/>
        <w:left w:val="none" w:sz="0" w:space="0" w:color="auto"/>
        <w:bottom w:val="none" w:sz="0" w:space="0" w:color="auto"/>
        <w:right w:val="none" w:sz="0" w:space="0" w:color="auto"/>
      </w:divBdr>
      <w:divsChild>
        <w:div w:id="546187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080101">
      <w:bodyDiv w:val="1"/>
      <w:marLeft w:val="0"/>
      <w:marRight w:val="0"/>
      <w:marTop w:val="0"/>
      <w:marBottom w:val="0"/>
      <w:divBdr>
        <w:top w:val="none" w:sz="0" w:space="0" w:color="auto"/>
        <w:left w:val="none" w:sz="0" w:space="0" w:color="auto"/>
        <w:bottom w:val="none" w:sz="0" w:space="0" w:color="auto"/>
        <w:right w:val="none" w:sz="0" w:space="0" w:color="auto"/>
      </w:divBdr>
      <w:divsChild>
        <w:div w:id="1303805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2816</Words>
  <Characters>15489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 GASPAR</dc:creator>
  <cp:keywords/>
  <dc:description/>
  <cp:lastModifiedBy>DIP. GASPAR</cp:lastModifiedBy>
  <cp:revision>2</cp:revision>
  <cp:lastPrinted>2026-09-09T15:58:00Z</cp:lastPrinted>
  <dcterms:created xsi:type="dcterms:W3CDTF">2026-09-09T16:18:00Z</dcterms:created>
  <dcterms:modified xsi:type="dcterms:W3CDTF">2026-09-09T16:18:00Z</dcterms:modified>
</cp:coreProperties>
</file>